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49A" w:rsidRDefault="00127A71" w:rsidP="00303741">
      <w:pPr>
        <w:pStyle w:val="Heading1"/>
      </w:pPr>
      <w:r>
        <w:br/>
      </w:r>
      <w:r>
        <w:br/>
        <w:t>Recommended Updates to Net-To-</w:t>
      </w:r>
      <w:r w:rsidR="001A749A" w:rsidRPr="009F1EEF">
        <w:t xml:space="preserve">Gross Ratios for </w:t>
      </w:r>
      <w:r w:rsidR="001A749A">
        <w:t>Industrial and Agricultural End Uses (Except Lighting)</w:t>
      </w:r>
    </w:p>
    <w:p w:rsidR="001A749A" w:rsidRPr="00B253DF" w:rsidRDefault="001A749A" w:rsidP="00077A05">
      <w:pPr>
        <w:pStyle w:val="Heading2"/>
      </w:pPr>
      <w:r>
        <w:t>Introduction</w:t>
      </w:r>
    </w:p>
    <w:p w:rsidR="00134FF9" w:rsidRDefault="009D5588" w:rsidP="00661D8A">
      <w:pPr>
        <w:rPr>
          <w:rFonts w:eastAsiaTheme="minorHAnsi"/>
        </w:rPr>
      </w:pPr>
      <w:r>
        <w:rPr>
          <w:rFonts w:eastAsiaTheme="minorHAnsi"/>
        </w:rPr>
        <w:t>Net-to-Gross ratio (NTGR) values were last updated in 200</w:t>
      </w:r>
      <w:r w:rsidR="00396ACB">
        <w:rPr>
          <w:rFonts w:eastAsiaTheme="minorHAnsi"/>
        </w:rPr>
        <w:t>8</w:t>
      </w:r>
      <w:r>
        <w:rPr>
          <w:rFonts w:eastAsiaTheme="minorHAnsi"/>
        </w:rPr>
        <w:t xml:space="preserve">.  </w:t>
      </w:r>
      <w:r w:rsidR="00396ACB">
        <w:t>In late 2010, the CPUC requested that the DEER team develop new NTGR ratios based on more recent research results to increase confidence in their application of NTG ratios to estimate net energy savings for current and future programs.  To meet this objective, a comprehensive literature review was recently conducted of recently completed studies relevant to these customer segments.</w:t>
      </w:r>
      <w:r w:rsidR="007D4138">
        <w:t xml:space="preserve"> </w:t>
      </w:r>
      <w:r>
        <w:rPr>
          <w:rFonts w:eastAsiaTheme="minorHAnsi"/>
        </w:rPr>
        <w:t>A key data source was</w:t>
      </w:r>
      <w:r w:rsidR="00661D8A">
        <w:rPr>
          <w:rFonts w:eastAsiaTheme="minorHAnsi"/>
        </w:rPr>
        <w:t xml:space="preserve"> </w:t>
      </w:r>
      <w:r w:rsidR="00396ACB">
        <w:rPr>
          <w:rFonts w:eastAsiaTheme="minorHAnsi"/>
        </w:rPr>
        <w:t xml:space="preserve">the Program Year 2006-2008 EM&amp;V studies covering both Industrial and Agricultural energy efficiency measure (EEM) categories. </w:t>
      </w:r>
      <w:r>
        <w:rPr>
          <w:rFonts w:eastAsiaTheme="minorHAnsi"/>
        </w:rPr>
        <w:t xml:space="preserve">For certain categories, values were averaged across related studies to obtain the recommended value.  </w:t>
      </w:r>
    </w:p>
    <w:p w:rsidR="00661D8A" w:rsidRDefault="00661D8A" w:rsidP="00661D8A">
      <w:pPr>
        <w:rPr>
          <w:rFonts w:eastAsiaTheme="minorHAnsi"/>
        </w:rPr>
      </w:pPr>
      <w:r>
        <w:rPr>
          <w:rFonts w:eastAsiaTheme="minorHAnsi"/>
        </w:rPr>
        <w:t>Some of the factors considered in making a final NTGR recommendation may include:</w:t>
      </w:r>
    </w:p>
    <w:p w:rsidR="00661D8A" w:rsidRDefault="00661D8A" w:rsidP="0063763A">
      <w:pPr>
        <w:pStyle w:val="ListParagraph"/>
        <w:numPr>
          <w:ilvl w:val="0"/>
          <w:numId w:val="13"/>
        </w:numPr>
        <w:spacing w:after="280"/>
        <w:contextualSpacing/>
        <w:jc w:val="left"/>
        <w:rPr>
          <w:rFonts w:eastAsiaTheme="minorHAnsi"/>
        </w:rPr>
      </w:pPr>
      <w:r>
        <w:rPr>
          <w:rFonts w:eastAsiaTheme="minorHAnsi"/>
        </w:rPr>
        <w:t>The relative merits of the methods and</w:t>
      </w:r>
      <w:r w:rsidRPr="001903A0">
        <w:rPr>
          <w:rFonts w:eastAsiaTheme="minorHAnsi"/>
        </w:rPr>
        <w:t xml:space="preserve"> sampling plans </w:t>
      </w:r>
      <w:r>
        <w:rPr>
          <w:rFonts w:eastAsiaTheme="minorHAnsi"/>
        </w:rPr>
        <w:t>used to derive NTGR from past and the most current 2006-08 evaluation studies</w:t>
      </w:r>
    </w:p>
    <w:p w:rsidR="00661D8A" w:rsidRDefault="00661D8A" w:rsidP="0063763A">
      <w:pPr>
        <w:pStyle w:val="ListParagraph"/>
        <w:numPr>
          <w:ilvl w:val="0"/>
          <w:numId w:val="13"/>
        </w:numPr>
        <w:spacing w:after="280"/>
        <w:contextualSpacing/>
        <w:jc w:val="left"/>
        <w:rPr>
          <w:rFonts w:eastAsiaTheme="minorHAnsi"/>
        </w:rPr>
      </w:pPr>
      <w:r>
        <w:rPr>
          <w:rFonts w:eastAsiaTheme="minorHAnsi"/>
        </w:rPr>
        <w:t xml:space="preserve">Potential changes in either the energy efficiency program’s design or the EEM’s minimum qualification levels between the previous evaluation and the 2006-08 evaluation, and </w:t>
      </w:r>
    </w:p>
    <w:p w:rsidR="00661D8A" w:rsidRDefault="00661D8A" w:rsidP="0063763A">
      <w:pPr>
        <w:pStyle w:val="ListParagraph"/>
        <w:numPr>
          <w:ilvl w:val="0"/>
          <w:numId w:val="13"/>
        </w:numPr>
        <w:spacing w:after="120"/>
        <w:jc w:val="left"/>
        <w:rPr>
          <w:rFonts w:eastAsiaTheme="minorHAnsi"/>
        </w:rPr>
      </w:pPr>
      <w:r>
        <w:rPr>
          <w:rFonts w:eastAsiaTheme="minorHAnsi"/>
        </w:rPr>
        <w:t>The changing market conditions and saturation levels of the EEM</w:t>
      </w:r>
      <w:r w:rsidR="008B41B1">
        <w:rPr>
          <w:rFonts w:eastAsiaTheme="minorHAnsi"/>
        </w:rPr>
        <w:t>s</w:t>
      </w:r>
      <w:r>
        <w:rPr>
          <w:rFonts w:eastAsiaTheme="minorHAnsi"/>
        </w:rPr>
        <w:t xml:space="preserve"> in the industrial and agricultural sectors.  There are two metrics that could serve as indicators of market saturation</w:t>
      </w:r>
    </w:p>
    <w:p w:rsidR="00661D8A" w:rsidRDefault="00661D8A" w:rsidP="0063763A">
      <w:pPr>
        <w:pStyle w:val="ListParagraph"/>
        <w:numPr>
          <w:ilvl w:val="1"/>
          <w:numId w:val="14"/>
        </w:numPr>
        <w:spacing w:after="280"/>
        <w:contextualSpacing/>
        <w:jc w:val="left"/>
        <w:rPr>
          <w:rFonts w:eastAsiaTheme="minorHAnsi"/>
        </w:rPr>
      </w:pPr>
      <w:r>
        <w:rPr>
          <w:rFonts w:eastAsiaTheme="minorHAnsi"/>
        </w:rPr>
        <w:t>Rate of change in the market share of efficient technologies over time</w:t>
      </w:r>
    </w:p>
    <w:p w:rsidR="00661D8A" w:rsidRPr="00BA141B" w:rsidRDefault="00661D8A" w:rsidP="0063763A">
      <w:pPr>
        <w:pStyle w:val="ListParagraph"/>
        <w:numPr>
          <w:ilvl w:val="1"/>
          <w:numId w:val="14"/>
        </w:numPr>
        <w:spacing w:after="280"/>
        <w:contextualSpacing/>
        <w:jc w:val="left"/>
        <w:rPr>
          <w:rFonts w:eastAsiaTheme="minorHAnsi"/>
        </w:rPr>
      </w:pPr>
      <w:r>
        <w:rPr>
          <w:rFonts w:eastAsiaTheme="minorHAnsi"/>
        </w:rPr>
        <w:t>Any available evidence on trends in the incremental cost of the targeted energy efficiency measures</w:t>
      </w:r>
    </w:p>
    <w:p w:rsidR="007F2229" w:rsidRDefault="00661D8A" w:rsidP="00661D8A">
      <w:pPr>
        <w:rPr>
          <w:rFonts w:eastAsiaTheme="minorHAnsi"/>
        </w:rPr>
      </w:pPr>
      <w:r>
        <w:rPr>
          <w:rFonts w:eastAsiaTheme="minorHAnsi"/>
        </w:rPr>
        <w:t>After recommending specific NTGR val</w:t>
      </w:r>
      <w:r w:rsidR="00B625FD">
        <w:rPr>
          <w:rFonts w:eastAsiaTheme="minorHAnsi"/>
        </w:rPr>
        <w:t>ues for the 2011 DEER update, the DEER team identified</w:t>
      </w:r>
      <w:r>
        <w:rPr>
          <w:rFonts w:eastAsiaTheme="minorHAnsi"/>
        </w:rPr>
        <w:t xml:space="preserve"> the program and market factors that could most likely lead to changes in the recommended values over the next three years. We then consider whether there is sufficient data and an acceptable analytical approach to reasonably forecast the NTGR trend over the next three years.  If both conditions are met absent any significant changes in program design and/or qualifying levels for rebated measures, a NTGR forecast for use in 2013-2014 is presented. </w:t>
      </w:r>
      <w:r>
        <w:rPr>
          <w:rFonts w:eastAsiaTheme="minorHAnsi"/>
        </w:rPr>
        <w:lastRenderedPageBreak/>
        <w:t>However, if the assessment concludes that there is neither adequate data nor a good understanding of how market  changes may affect the NTGR values over time, then no adjustments to the estimated 2011 NTGR update values are recommended to account for market changes between now and 2013.</w:t>
      </w:r>
    </w:p>
    <w:p w:rsidR="005D5C68" w:rsidRPr="00077A05" w:rsidRDefault="001A749A" w:rsidP="00077A05">
      <w:pPr>
        <w:pStyle w:val="Heading2"/>
      </w:pPr>
      <w:r w:rsidRPr="00077A05">
        <w:t xml:space="preserve">Comparison of Current DEER NTGR </w:t>
      </w:r>
      <w:r w:rsidR="002B3E58" w:rsidRPr="00077A05">
        <w:t xml:space="preserve">Values </w:t>
      </w:r>
      <w:r w:rsidRPr="00077A05">
        <w:t xml:space="preserve">to </w:t>
      </w:r>
      <w:r w:rsidR="002B3E58" w:rsidRPr="00077A05">
        <w:t xml:space="preserve">the </w:t>
      </w:r>
      <w:r w:rsidRPr="00077A05">
        <w:t xml:space="preserve">Results from </w:t>
      </w:r>
      <w:r w:rsidR="002B3E58" w:rsidRPr="00077A05">
        <w:t xml:space="preserve">the </w:t>
      </w:r>
      <w:r w:rsidRPr="00077A05">
        <w:t>2006</w:t>
      </w:r>
      <w:r w:rsidR="002B3E58" w:rsidRPr="00077A05">
        <w:t xml:space="preserve"> – </w:t>
      </w:r>
      <w:r w:rsidRPr="00077A05">
        <w:t>2008</w:t>
      </w:r>
      <w:r w:rsidR="002B3E58" w:rsidRPr="00077A05">
        <w:t xml:space="preserve"> EM&amp;V Studies</w:t>
      </w:r>
    </w:p>
    <w:p w:rsidR="001A749A" w:rsidRDefault="00396490" w:rsidP="007F2229">
      <w:pPr>
        <w:widowControl w:val="0"/>
        <w:rPr>
          <w:rFonts w:eastAsiaTheme="minorHAnsi"/>
        </w:rPr>
      </w:pPr>
      <w:r>
        <w:rPr>
          <w:rFonts w:eastAsiaTheme="minorHAnsi"/>
        </w:rPr>
        <w:fldChar w:fldCharType="begin"/>
      </w:r>
      <w:r w:rsidR="0063763A">
        <w:rPr>
          <w:rFonts w:eastAsiaTheme="minorHAnsi"/>
        </w:rPr>
        <w:instrText xml:space="preserve"> REF _Ref307492398 \h </w:instrText>
      </w:r>
      <w:r>
        <w:rPr>
          <w:rFonts w:eastAsiaTheme="minorHAnsi"/>
        </w:rPr>
      </w:r>
      <w:r>
        <w:rPr>
          <w:rFonts w:eastAsiaTheme="minorHAnsi"/>
        </w:rPr>
        <w:fldChar w:fldCharType="separate"/>
      </w:r>
      <w:r w:rsidR="00EF45A4">
        <w:t xml:space="preserve">Table </w:t>
      </w:r>
      <w:r w:rsidR="00EF45A4">
        <w:rPr>
          <w:noProof/>
        </w:rPr>
        <w:t>9</w:t>
      </w:r>
      <w:r w:rsidR="00EF45A4">
        <w:noBreakHyphen/>
      </w:r>
      <w:r w:rsidR="00EF45A4">
        <w:rPr>
          <w:noProof/>
        </w:rPr>
        <w:t>1</w:t>
      </w:r>
      <w:r>
        <w:rPr>
          <w:rFonts w:eastAsiaTheme="minorHAnsi"/>
        </w:rPr>
        <w:fldChar w:fldCharType="end"/>
      </w:r>
      <w:r w:rsidR="0063763A">
        <w:rPr>
          <w:rFonts w:eastAsiaTheme="minorHAnsi"/>
        </w:rPr>
        <w:t xml:space="preserve"> </w:t>
      </w:r>
      <w:r w:rsidR="001A749A">
        <w:rPr>
          <w:rFonts w:eastAsiaTheme="minorHAnsi"/>
        </w:rPr>
        <w:t>compares</w:t>
      </w:r>
      <w:r w:rsidR="000F41A3">
        <w:rPr>
          <w:rFonts w:eastAsiaTheme="minorHAnsi"/>
        </w:rPr>
        <w:t xml:space="preserve"> NTGR estimates for </w:t>
      </w:r>
      <w:r w:rsidR="002F778B">
        <w:rPr>
          <w:rFonts w:eastAsiaTheme="minorHAnsi"/>
        </w:rPr>
        <w:t xml:space="preserve">all industrial and agricultural </w:t>
      </w:r>
      <w:r w:rsidR="00610378">
        <w:rPr>
          <w:rFonts w:eastAsiaTheme="minorHAnsi"/>
        </w:rPr>
        <w:t>measure</w:t>
      </w:r>
      <w:r w:rsidR="002F778B">
        <w:rPr>
          <w:rFonts w:eastAsiaTheme="minorHAnsi"/>
        </w:rPr>
        <w:t xml:space="preserve"> categories.  The table is</w:t>
      </w:r>
      <w:r w:rsidR="007D4138">
        <w:rPr>
          <w:rFonts w:eastAsiaTheme="minorHAnsi"/>
        </w:rPr>
        <w:t xml:space="preserve"> segmented by measure type and fuel.</w:t>
      </w:r>
    </w:p>
    <w:p w:rsidR="0022711E" w:rsidRDefault="0022711E" w:rsidP="007F2229">
      <w:pPr>
        <w:widowControl w:val="0"/>
        <w:rPr>
          <w:rFonts w:eastAsiaTheme="minorHAnsi"/>
        </w:rPr>
      </w:pPr>
    </w:p>
    <w:p w:rsidR="0022711E" w:rsidRDefault="0022711E" w:rsidP="00D064A7">
      <w:pPr>
        <w:sectPr w:rsidR="0022711E" w:rsidSect="0022711E">
          <w:headerReference w:type="default" r:id="rId9"/>
          <w:footerReference w:type="default" r:id="rId10"/>
          <w:headerReference w:type="first" r:id="rId11"/>
          <w:footerReference w:type="first" r:id="rId12"/>
          <w:pgSz w:w="12240" w:h="15840" w:code="1"/>
          <w:pgMar w:top="1440" w:right="1440" w:bottom="1440" w:left="1440" w:header="720" w:footer="720" w:gutter="0"/>
          <w:pgNumType w:chapStyle="1"/>
          <w:cols w:space="720"/>
          <w:titlePg/>
          <w:docGrid w:linePitch="326"/>
        </w:sectPr>
      </w:pPr>
      <w:bookmarkStart w:id="0" w:name="_Ref305703317"/>
    </w:p>
    <w:p w:rsidR="00B033DB" w:rsidRDefault="001A749A" w:rsidP="00FF4B69">
      <w:pPr>
        <w:pStyle w:val="Caption"/>
        <w:rPr>
          <w:rFonts w:eastAsiaTheme="minorHAnsi"/>
        </w:rPr>
      </w:pPr>
      <w:bookmarkStart w:id="1" w:name="_Ref307492398"/>
      <w:bookmarkStart w:id="2" w:name="GH"/>
      <w:bookmarkStart w:id="3" w:name="_GoBack"/>
      <w:bookmarkEnd w:id="2"/>
      <w:bookmarkEnd w:id="3"/>
      <w:r>
        <w:lastRenderedPageBreak/>
        <w:t xml:space="preserve">Table </w:t>
      </w:r>
      <w:r w:rsidR="00F25699">
        <w:fldChar w:fldCharType="begin"/>
      </w:r>
      <w:r w:rsidR="00F25699">
        <w:instrText xml:space="preserve"> STYLEREF 1 \s </w:instrText>
      </w:r>
      <w:r w:rsidR="00F25699">
        <w:fldChar w:fldCharType="separate"/>
      </w:r>
      <w:r w:rsidR="00EF45A4">
        <w:rPr>
          <w:noProof/>
        </w:rPr>
        <w:t>9</w:t>
      </w:r>
      <w:r w:rsidR="00F25699">
        <w:rPr>
          <w:noProof/>
        </w:rPr>
        <w:fldChar w:fldCharType="end"/>
      </w:r>
      <w:r w:rsidR="00DC29FF">
        <w:noBreakHyphen/>
      </w:r>
      <w:r w:rsidR="00F25699">
        <w:fldChar w:fldCharType="begin"/>
      </w:r>
      <w:r w:rsidR="00F25699">
        <w:instrText xml:space="preserve"> SEQ Table \* ARABIC \s 1 </w:instrText>
      </w:r>
      <w:r w:rsidR="00F25699">
        <w:fldChar w:fldCharType="separate"/>
      </w:r>
      <w:r w:rsidR="00EF45A4">
        <w:rPr>
          <w:noProof/>
        </w:rPr>
        <w:t>1</w:t>
      </w:r>
      <w:r w:rsidR="00F25699">
        <w:rPr>
          <w:noProof/>
        </w:rPr>
        <w:fldChar w:fldCharType="end"/>
      </w:r>
      <w:bookmarkEnd w:id="0"/>
      <w:bookmarkEnd w:id="1"/>
      <w:r>
        <w:t xml:space="preserve">:  </w:t>
      </w:r>
      <w:r>
        <w:rPr>
          <w:rFonts w:eastAsiaTheme="minorHAnsi"/>
        </w:rPr>
        <w:t xml:space="preserve">Overview of NTGR </w:t>
      </w:r>
      <w:r w:rsidR="00172BCF">
        <w:rPr>
          <w:rFonts w:eastAsiaTheme="minorHAnsi"/>
        </w:rPr>
        <w:t>R</w:t>
      </w:r>
      <w:r>
        <w:rPr>
          <w:rFonts w:eastAsiaTheme="minorHAnsi"/>
        </w:rPr>
        <w:t xml:space="preserve">esults by </w:t>
      </w:r>
      <w:r w:rsidR="00172BCF">
        <w:rPr>
          <w:rFonts w:eastAsiaTheme="minorHAnsi"/>
        </w:rPr>
        <w:t>M</w:t>
      </w:r>
      <w:r>
        <w:rPr>
          <w:rFonts w:eastAsiaTheme="minorHAnsi"/>
        </w:rPr>
        <w:t>easure</w:t>
      </w:r>
      <w:r w:rsidR="00172BCF">
        <w:rPr>
          <w:rFonts w:eastAsiaTheme="minorHAnsi"/>
        </w:rPr>
        <w:t xml:space="preserve"> and</w:t>
      </w:r>
      <w:r>
        <w:rPr>
          <w:rFonts w:eastAsiaTheme="minorHAnsi"/>
        </w:rPr>
        <w:t xml:space="preserve"> </w:t>
      </w:r>
      <w:r w:rsidR="00172BCF">
        <w:rPr>
          <w:rFonts w:eastAsiaTheme="minorHAnsi"/>
        </w:rPr>
        <w:t>D</w:t>
      </w:r>
      <w:r>
        <w:rPr>
          <w:rFonts w:eastAsiaTheme="minorHAnsi"/>
        </w:rPr>
        <w:t>elivery</w:t>
      </w:r>
      <w:r w:rsidR="00172BCF">
        <w:rPr>
          <w:rFonts w:eastAsiaTheme="minorHAnsi"/>
        </w:rPr>
        <w:t xml:space="preserve"> Approach</w:t>
      </w:r>
    </w:p>
    <w:p w:rsidR="0063763A" w:rsidRPr="0063763A" w:rsidRDefault="0063763A" w:rsidP="0063763A">
      <w:pPr>
        <w:rPr>
          <w:rFonts w:eastAsiaTheme="minorHAnsi"/>
        </w:rPr>
      </w:pPr>
      <w:r w:rsidRPr="0063763A">
        <w:rPr>
          <w:rFonts w:eastAsiaTheme="minorHAnsi"/>
          <w:noProof/>
        </w:rPr>
        <w:drawing>
          <wp:inline distT="0" distB="0" distL="0" distR="0">
            <wp:extent cx="7991475" cy="5143500"/>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7989570" cy="5143500"/>
                    </a:xfrm>
                    <a:prstGeom prst="rect">
                      <a:avLst/>
                    </a:prstGeom>
                    <a:noFill/>
                    <a:ln w="9525">
                      <a:noFill/>
                      <a:miter lim="800000"/>
                      <a:headEnd/>
                      <a:tailEnd/>
                    </a:ln>
                  </pic:spPr>
                </pic:pic>
              </a:graphicData>
            </a:graphic>
          </wp:inline>
        </w:drawing>
      </w:r>
    </w:p>
    <w:p w:rsidR="001116CE" w:rsidRPr="00DC29FF" w:rsidRDefault="001116CE" w:rsidP="00DC29FF">
      <w:pPr>
        <w:widowControl w:val="0"/>
        <w:tabs>
          <w:tab w:val="left" w:pos="13500"/>
        </w:tabs>
        <w:spacing w:after="0" w:line="240" w:lineRule="auto"/>
        <w:ind w:left="-360"/>
        <w:jc w:val="center"/>
        <w:rPr>
          <w:rFonts w:eastAsiaTheme="minorHAnsi"/>
        </w:rPr>
      </w:pPr>
    </w:p>
    <w:p w:rsidR="002F778B" w:rsidRDefault="00077A05" w:rsidP="00FF4B69">
      <w:pPr>
        <w:pStyle w:val="Caption"/>
        <w:rPr>
          <w:rFonts w:eastAsiaTheme="minorHAnsi"/>
        </w:rPr>
      </w:pPr>
      <w:r>
        <w:rPr>
          <w:rFonts w:eastAsiaTheme="minorHAnsi"/>
        </w:rPr>
        <w:lastRenderedPageBreak/>
        <w:t xml:space="preserve">Table </w:t>
      </w:r>
      <w:r w:rsidR="00303741">
        <w:rPr>
          <w:rFonts w:eastAsiaTheme="minorHAnsi"/>
        </w:rPr>
        <w:t>9</w:t>
      </w:r>
      <w:r w:rsidR="002F778B">
        <w:rPr>
          <w:rFonts w:eastAsiaTheme="minorHAnsi"/>
        </w:rPr>
        <w:t>-1 (continued)</w:t>
      </w:r>
      <w:r w:rsidR="0063763A">
        <w:rPr>
          <w:rFonts w:eastAsiaTheme="minorHAnsi"/>
        </w:rPr>
        <w:t>:</w:t>
      </w:r>
      <w:r w:rsidR="002F778B">
        <w:rPr>
          <w:rFonts w:eastAsiaTheme="minorHAnsi"/>
        </w:rPr>
        <w:t xml:space="preserve"> Overview of NTGR Results by Measure and Delivery Approach</w:t>
      </w:r>
    </w:p>
    <w:p w:rsidR="0063763A" w:rsidRDefault="0063763A" w:rsidP="0063763A">
      <w:pPr>
        <w:rPr>
          <w:rFonts w:eastAsiaTheme="minorHAnsi"/>
        </w:rPr>
      </w:pPr>
      <w:r w:rsidRPr="0063763A">
        <w:rPr>
          <w:rFonts w:eastAsiaTheme="minorHAnsi"/>
          <w:noProof/>
        </w:rPr>
        <w:drawing>
          <wp:inline distT="0" distB="0" distL="0" distR="0">
            <wp:extent cx="8229600" cy="5483861"/>
            <wp:effectExtent l="1905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8229600" cy="5483861"/>
                    </a:xfrm>
                    <a:prstGeom prst="rect">
                      <a:avLst/>
                    </a:prstGeom>
                    <a:noFill/>
                    <a:ln w="9525">
                      <a:noFill/>
                      <a:miter lim="800000"/>
                      <a:headEnd/>
                      <a:tailEnd/>
                    </a:ln>
                  </pic:spPr>
                </pic:pic>
              </a:graphicData>
            </a:graphic>
          </wp:inline>
        </w:drawing>
      </w:r>
    </w:p>
    <w:p w:rsidR="0063763A" w:rsidRDefault="00077A05" w:rsidP="0063763A">
      <w:pPr>
        <w:pStyle w:val="Caption"/>
        <w:rPr>
          <w:rFonts w:eastAsiaTheme="minorHAnsi"/>
        </w:rPr>
      </w:pPr>
      <w:r>
        <w:rPr>
          <w:rFonts w:eastAsiaTheme="minorHAnsi"/>
        </w:rPr>
        <w:lastRenderedPageBreak/>
        <w:t xml:space="preserve">Table </w:t>
      </w:r>
      <w:r w:rsidR="00303741">
        <w:rPr>
          <w:rFonts w:eastAsiaTheme="minorHAnsi"/>
        </w:rPr>
        <w:t>9</w:t>
      </w:r>
      <w:r w:rsidR="0063763A">
        <w:rPr>
          <w:rFonts w:eastAsiaTheme="minorHAnsi"/>
        </w:rPr>
        <w:t>-1 (continued): Overview of NTGR Results by Measure and Delivery Approach</w:t>
      </w:r>
    </w:p>
    <w:p w:rsidR="0063763A" w:rsidRPr="0063763A" w:rsidRDefault="0063763A" w:rsidP="0063763A">
      <w:pPr>
        <w:rPr>
          <w:rFonts w:eastAsiaTheme="minorHAnsi"/>
        </w:rPr>
      </w:pPr>
      <w:r w:rsidRPr="0063763A">
        <w:rPr>
          <w:rFonts w:eastAsiaTheme="minorHAnsi"/>
          <w:noProof/>
        </w:rPr>
        <w:drawing>
          <wp:inline distT="0" distB="0" distL="0" distR="0">
            <wp:extent cx="8229600" cy="5098177"/>
            <wp:effectExtent l="1905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8229600" cy="5098177"/>
                    </a:xfrm>
                    <a:prstGeom prst="rect">
                      <a:avLst/>
                    </a:prstGeom>
                    <a:noFill/>
                    <a:ln w="9525">
                      <a:noFill/>
                      <a:miter lim="800000"/>
                      <a:headEnd/>
                      <a:tailEnd/>
                    </a:ln>
                  </pic:spPr>
                </pic:pic>
              </a:graphicData>
            </a:graphic>
          </wp:inline>
        </w:drawing>
      </w:r>
    </w:p>
    <w:p w:rsidR="00B21CFB" w:rsidRDefault="00B21CFB" w:rsidP="00BD7911">
      <w:pPr>
        <w:rPr>
          <w:rFonts w:eastAsiaTheme="minorHAnsi"/>
        </w:rPr>
      </w:pPr>
    </w:p>
    <w:p w:rsidR="005B0772" w:rsidRDefault="005B0772" w:rsidP="00D064A7">
      <w:pPr>
        <w:rPr>
          <w:rFonts w:eastAsiaTheme="minorHAnsi"/>
        </w:rPr>
        <w:sectPr w:rsidR="005B0772" w:rsidSect="001116CE">
          <w:headerReference w:type="default" r:id="rId16"/>
          <w:footerReference w:type="default" r:id="rId17"/>
          <w:headerReference w:type="first" r:id="rId18"/>
          <w:footerReference w:type="first" r:id="rId19"/>
          <w:pgSz w:w="15840" w:h="12240" w:orient="landscape" w:code="1"/>
          <w:pgMar w:top="1440" w:right="1440" w:bottom="1440" w:left="1440" w:header="720" w:footer="720" w:gutter="0"/>
          <w:pgNumType w:chapStyle="1"/>
          <w:cols w:space="720"/>
          <w:titlePg/>
          <w:docGrid w:linePitch="326"/>
        </w:sectPr>
      </w:pPr>
    </w:p>
    <w:p w:rsidR="005D5C68" w:rsidRDefault="001A749A" w:rsidP="00077A05">
      <w:pPr>
        <w:pStyle w:val="Heading2"/>
      </w:pPr>
      <w:r>
        <w:lastRenderedPageBreak/>
        <w:t>Compari</w:t>
      </w:r>
      <w:r w:rsidR="005B0772">
        <w:t>son of Methods and Sample Sizes</w:t>
      </w:r>
    </w:p>
    <w:p w:rsidR="00B149F5" w:rsidRDefault="00541DA8" w:rsidP="00541DA8">
      <w:pPr>
        <w:rPr>
          <w:rFonts w:eastAsiaTheme="minorHAnsi"/>
        </w:rPr>
      </w:pPr>
      <w:r w:rsidRPr="00541DA8">
        <w:rPr>
          <w:rFonts w:eastAsiaTheme="minorHAnsi"/>
        </w:rPr>
        <w:t>The studies used to estimate the current DEER values and the latest e</w:t>
      </w:r>
      <w:r w:rsidR="005947E7">
        <w:rPr>
          <w:rFonts w:eastAsiaTheme="minorHAnsi"/>
        </w:rPr>
        <w:t>valuation studies from 2006-2008</w:t>
      </w:r>
      <w:r w:rsidRPr="00541DA8">
        <w:rPr>
          <w:rFonts w:eastAsiaTheme="minorHAnsi"/>
        </w:rPr>
        <w:t xml:space="preserve"> </w:t>
      </w:r>
      <w:r w:rsidR="00FC3FF9">
        <w:rPr>
          <w:rFonts w:eastAsiaTheme="minorHAnsi"/>
        </w:rPr>
        <w:t xml:space="preserve">both </w:t>
      </w:r>
      <w:r w:rsidRPr="00541DA8">
        <w:rPr>
          <w:rFonts w:eastAsiaTheme="minorHAnsi"/>
        </w:rPr>
        <w:t xml:space="preserve">relied on the Self-Report Approach to derive NTGRs using interviews with </w:t>
      </w:r>
      <w:r w:rsidR="00A44E26">
        <w:rPr>
          <w:rFonts w:eastAsiaTheme="minorHAnsi"/>
        </w:rPr>
        <w:t>participating customers</w:t>
      </w:r>
      <w:r w:rsidR="0022644C">
        <w:rPr>
          <w:rFonts w:eastAsiaTheme="minorHAnsi"/>
        </w:rPr>
        <w:t xml:space="preserve"> and </w:t>
      </w:r>
      <w:r w:rsidR="0022644C" w:rsidRPr="00541DA8">
        <w:rPr>
          <w:rFonts w:eastAsiaTheme="minorHAnsi"/>
        </w:rPr>
        <w:t>ven</w:t>
      </w:r>
      <w:r w:rsidR="0022644C">
        <w:rPr>
          <w:rFonts w:eastAsiaTheme="minorHAnsi"/>
        </w:rPr>
        <w:t>dor</w:t>
      </w:r>
      <w:r w:rsidR="00172BCF">
        <w:rPr>
          <w:rFonts w:eastAsiaTheme="minorHAnsi"/>
        </w:rPr>
        <w:t>s</w:t>
      </w:r>
      <w:r w:rsidRPr="00541DA8">
        <w:rPr>
          <w:rFonts w:eastAsiaTheme="minorHAnsi"/>
        </w:rPr>
        <w:t>.</w:t>
      </w:r>
      <w:r w:rsidR="00A44E26">
        <w:rPr>
          <w:rFonts w:eastAsiaTheme="minorHAnsi"/>
        </w:rPr>
        <w:t xml:space="preserve"> </w:t>
      </w:r>
      <w:r w:rsidR="00FC3FF9">
        <w:rPr>
          <w:rFonts w:eastAsiaTheme="minorHAnsi"/>
        </w:rPr>
        <w:t>The studies underlying the current DEER values were generally those from the PY2004-2005 program evaluations and used a NTG question and scoring rubric that had been in effect for many years.  The studies performed for the 2006-2008 program cycle used a newly-developed set of questions and scoring algorithm, as described below.</w:t>
      </w:r>
    </w:p>
    <w:p w:rsidR="00B149F5" w:rsidRDefault="006A6EC1" w:rsidP="00D064A7">
      <w:r w:rsidRPr="006A6EC1">
        <w:rPr>
          <w:b/>
        </w:rPr>
        <w:t>Methods.</w:t>
      </w:r>
      <w:r w:rsidR="00FC3FF9">
        <w:t xml:space="preserve"> The self-report methodology used in the </w:t>
      </w:r>
      <w:r w:rsidR="00FC3FF9">
        <w:rPr>
          <w:rFonts w:eastAsiaTheme="minorHAnsi"/>
        </w:rPr>
        <w:t>2006-2008</w:t>
      </w:r>
      <w:r w:rsidR="00FC3FF9" w:rsidRPr="00541DA8">
        <w:rPr>
          <w:rFonts w:eastAsiaTheme="minorHAnsi"/>
        </w:rPr>
        <w:t xml:space="preserve"> </w:t>
      </w:r>
      <w:r w:rsidR="00FC3FF9">
        <w:rPr>
          <w:rFonts w:eastAsiaTheme="minorHAnsi"/>
        </w:rPr>
        <w:t>EM&amp;V studies was developed by</w:t>
      </w:r>
      <w:r w:rsidR="00FC3FF9">
        <w:t xml:space="preserve"> </w:t>
      </w:r>
      <w:r w:rsidR="00B149F5">
        <w:t xml:space="preserve">a nonresidential net-to-gross ratio working group that was composed of experienced evaluation professionals. The main purpose of this group was to develop a </w:t>
      </w:r>
      <w:r w:rsidR="00B149F5" w:rsidRPr="002426B4">
        <w:t xml:space="preserve">standard </w:t>
      </w:r>
      <w:r w:rsidR="00B149F5">
        <w:t xml:space="preserve">methodological </w:t>
      </w:r>
      <w:r w:rsidR="00B149F5" w:rsidRPr="002426B4">
        <w:t>framework, including decision rules, for integrating</w:t>
      </w:r>
      <w:r w:rsidR="00FC3FF9">
        <w:t xml:space="preserve">, </w:t>
      </w:r>
      <w:r w:rsidR="00B149F5">
        <w:t>in a systematic and consistent manner</w:t>
      </w:r>
      <w:r w:rsidR="00FC3FF9">
        <w:t>,</w:t>
      </w:r>
      <w:r w:rsidR="00B149F5">
        <w:t xml:space="preserve"> the </w:t>
      </w:r>
      <w:r w:rsidR="00B149F5" w:rsidRPr="002426B4">
        <w:t xml:space="preserve">findings from both quantitative and qualitative information in </w:t>
      </w:r>
      <w:r w:rsidR="00B149F5">
        <w:t xml:space="preserve">estimating </w:t>
      </w:r>
      <w:r w:rsidR="00B149F5" w:rsidRPr="002426B4">
        <w:t>net-to-gross ratio</w:t>
      </w:r>
      <w:r w:rsidR="00B149F5">
        <w:t>s</w:t>
      </w:r>
      <w:r w:rsidR="00B149F5" w:rsidRPr="002426B4">
        <w:t>.</w:t>
      </w:r>
    </w:p>
    <w:p w:rsidR="00B149F5" w:rsidRDefault="00B149F5" w:rsidP="00D064A7">
      <w:r w:rsidRPr="002426B4">
        <w:t>The methodology was developed to address the unique needs of Large Nonresidential customer projects developed through energy efficiency programs offered by</w:t>
      </w:r>
      <w:r>
        <w:t xml:space="preserve"> the four California</w:t>
      </w:r>
      <w:r w:rsidRPr="002426B4">
        <w:t xml:space="preserve"> investor-owned utilities and third-parties.  This method relies exclusively on the Self-Report Approach (SRA) to estimate project and program-level </w:t>
      </w:r>
      <w:r>
        <w:t>Net-to-Gross Ratios (NTGRs)</w:t>
      </w:r>
      <w:r w:rsidRPr="002426B4">
        <w:t xml:space="preserve">, since other available methods and research designs are generally not feasible for large nonresidential customer programs.  </w:t>
      </w:r>
    </w:p>
    <w:p w:rsidR="00B21CFB" w:rsidRDefault="00B149F5" w:rsidP="0063763A">
      <w:r w:rsidRPr="002426B4">
        <w:t xml:space="preserve">The method introduces a 0 to 10 scoring system for key questions used to </w:t>
      </w:r>
      <w:r>
        <w:t>estimate the NTGR</w:t>
      </w:r>
      <w:r w:rsidRPr="002426B4">
        <w:t xml:space="preserve">, rather than using fixed categories </w:t>
      </w:r>
      <w:r>
        <w:t>that were assigned weights (</w:t>
      </w:r>
      <w:r w:rsidRPr="002426B4">
        <w:t>as was done previously</w:t>
      </w:r>
      <w:r>
        <w:t>)</w:t>
      </w:r>
      <w:r w:rsidRPr="002426B4">
        <w:t xml:space="preserve">.  </w:t>
      </w:r>
      <w:r>
        <w:t>It</w:t>
      </w:r>
      <w:r w:rsidRPr="002426B4">
        <w:t xml:space="preserve"> asks respondents to jointly consider and rate the importance of the many likely events or factors that may have influenced their energy efficiency decision making, rather than focusing narrowly on only their rating of the program’s importance.  </w:t>
      </w:r>
      <w:r>
        <w:t>T</w:t>
      </w:r>
      <w:r w:rsidRPr="002426B4">
        <w:t>his question structure more accurately reflects the complex nature of the real-world decision making and help</w:t>
      </w:r>
      <w:r>
        <w:t>s</w:t>
      </w:r>
      <w:r w:rsidRPr="002426B4">
        <w:t xml:space="preserve"> to ensure that all non-program influences are </w:t>
      </w:r>
      <w:r>
        <w:t>reflect</w:t>
      </w:r>
      <w:r w:rsidRPr="002426B4">
        <w:t xml:space="preserve">ed in the </w:t>
      </w:r>
      <w:r>
        <w:t>NTGR</w:t>
      </w:r>
      <w:r w:rsidRPr="002426B4">
        <w:t xml:space="preserve"> </w:t>
      </w:r>
      <w:r>
        <w:t>assessment</w:t>
      </w:r>
      <w:r w:rsidRPr="002426B4">
        <w:t xml:space="preserve"> in addition to program influences. </w:t>
      </w:r>
    </w:p>
    <w:p w:rsidR="00B21CFB" w:rsidRDefault="00B149F5" w:rsidP="0063763A">
      <w:r>
        <w:t>There are</w:t>
      </w:r>
      <w:r w:rsidRPr="002426B4">
        <w:t xml:space="preserve"> three levels of free-ridership analysis.  The most detailed level of analysis, </w:t>
      </w:r>
      <w:r>
        <w:t xml:space="preserve">the </w:t>
      </w:r>
      <w:r w:rsidRPr="002426B4">
        <w:rPr>
          <w:b/>
        </w:rPr>
        <w:t xml:space="preserve">Standard – Very Large Project </w:t>
      </w:r>
      <w:r>
        <w:t>NTGR</w:t>
      </w:r>
      <w:r w:rsidRPr="002426B4">
        <w:t xml:space="preserve">, </w:t>
      </w:r>
      <w:r>
        <w:t>is</w:t>
      </w:r>
      <w:r w:rsidRPr="002426B4">
        <w:t xml:space="preserve"> applied to the largest and most complex projects (representing 10 to 20% of the total) with the greatest </w:t>
      </w:r>
      <w:r>
        <w:t>expected levels of gross savings</w:t>
      </w:r>
      <w:r>
        <w:rPr>
          <w:rStyle w:val="FootnoteReference"/>
        </w:rPr>
        <w:footnoteReference w:id="1"/>
      </w:r>
      <w:r w:rsidRPr="002426B4">
        <w:t xml:space="preserve"> </w:t>
      </w:r>
      <w:r>
        <w:t xml:space="preserve">The </w:t>
      </w:r>
      <w:r w:rsidRPr="002426B4">
        <w:rPr>
          <w:b/>
        </w:rPr>
        <w:t xml:space="preserve">Standard </w:t>
      </w:r>
      <w:r>
        <w:t>NTGR,</w:t>
      </w:r>
      <w:r w:rsidRPr="002426B4">
        <w:t xml:space="preserve"> </w:t>
      </w:r>
      <w:r>
        <w:t xml:space="preserve">involving a somewhat </w:t>
      </w:r>
      <w:r w:rsidRPr="002426B4">
        <w:t>less detailed level of analysis</w:t>
      </w:r>
      <w:r>
        <w:t>,</w:t>
      </w:r>
      <w:r w:rsidRPr="002426B4">
        <w:t xml:space="preserve"> </w:t>
      </w:r>
      <w:r>
        <w:t>is</w:t>
      </w:r>
      <w:r w:rsidRPr="002426B4">
        <w:t xml:space="preserve"> applied to projects </w:t>
      </w:r>
      <w:r>
        <w:t xml:space="preserve">with moderately high levels of gross savings. </w:t>
      </w:r>
      <w:r w:rsidRPr="002426B4">
        <w:t xml:space="preserve">The least detailed analysis, </w:t>
      </w:r>
      <w:r>
        <w:t xml:space="preserve">the </w:t>
      </w:r>
      <w:r w:rsidRPr="002426B4">
        <w:rPr>
          <w:b/>
        </w:rPr>
        <w:t>Basic</w:t>
      </w:r>
      <w:r w:rsidRPr="002426B4">
        <w:t xml:space="preserve"> </w:t>
      </w:r>
      <w:r>
        <w:t>NTGR</w:t>
      </w:r>
      <w:r w:rsidRPr="002426B4">
        <w:t xml:space="preserve">, </w:t>
      </w:r>
      <w:r>
        <w:t>is</w:t>
      </w:r>
      <w:r w:rsidRPr="002426B4">
        <w:t xml:space="preserve"> applied to all remaining projects.  </w:t>
      </w:r>
      <w:r>
        <w:t xml:space="preserve">Evaluators must </w:t>
      </w:r>
      <w:r w:rsidRPr="002426B4">
        <w:t xml:space="preserve">exercise </w:t>
      </w:r>
      <w:r>
        <w:t>their</w:t>
      </w:r>
      <w:r w:rsidRPr="002426B4">
        <w:t xml:space="preserve"> own discretion as to what the appropriate thresholds should be for each of these </w:t>
      </w:r>
      <w:r>
        <w:t>three</w:t>
      </w:r>
      <w:r w:rsidRPr="002426B4">
        <w:t xml:space="preserve"> levels.</w:t>
      </w:r>
    </w:p>
    <w:p w:rsidR="00B21CFB" w:rsidRDefault="00B149F5" w:rsidP="00077A05">
      <w:r>
        <w:rPr>
          <w:b/>
        </w:rPr>
        <w:lastRenderedPageBreak/>
        <w:t xml:space="preserve">Data Sources. </w:t>
      </w:r>
      <w:r w:rsidRPr="002426B4">
        <w:t xml:space="preserve">There are </w:t>
      </w:r>
      <w:r>
        <w:t xml:space="preserve">five </w:t>
      </w:r>
      <w:r w:rsidRPr="002426B4">
        <w:t xml:space="preserve">sources of free-ridership information in this study.  Each level of analysis relies on information from one or more of these sources.  Table 1 below shows the data sources used in each of the three levels of free-ridership analysis. Although more than one level of analysis may share the same source, the amount of information that is utilized in the analysis may vary.  For example, all three levels of analysis obtain </w:t>
      </w:r>
      <w:r>
        <w:t xml:space="preserve">core question </w:t>
      </w:r>
      <w:r w:rsidRPr="002426B4">
        <w:t xml:space="preserve">data from the Decision Maker </w:t>
      </w:r>
      <w:r>
        <w:t>survey</w:t>
      </w:r>
      <w:r w:rsidRPr="002426B4">
        <w:t>.</w:t>
      </w:r>
    </w:p>
    <w:p w:rsidR="00DC29FF" w:rsidRDefault="00DC29FF" w:rsidP="00FF4B69">
      <w:pPr>
        <w:pStyle w:val="Caption"/>
      </w:pPr>
      <w:r>
        <w:t xml:space="preserve">Table </w:t>
      </w:r>
      <w:r w:rsidR="00F25699">
        <w:fldChar w:fldCharType="begin"/>
      </w:r>
      <w:r w:rsidR="00F25699">
        <w:instrText xml:space="preserve"> STYL</w:instrText>
      </w:r>
      <w:r w:rsidR="00F25699">
        <w:instrText xml:space="preserve">EREF 1 \s </w:instrText>
      </w:r>
      <w:r w:rsidR="00F25699">
        <w:fldChar w:fldCharType="separate"/>
      </w:r>
      <w:r w:rsidR="00EF45A4">
        <w:rPr>
          <w:noProof/>
        </w:rPr>
        <w:t>9</w:t>
      </w:r>
      <w:r w:rsidR="00F25699">
        <w:rPr>
          <w:noProof/>
        </w:rPr>
        <w:fldChar w:fldCharType="end"/>
      </w:r>
      <w:r>
        <w:noBreakHyphen/>
      </w:r>
      <w:r w:rsidR="00F25699">
        <w:fldChar w:fldCharType="begin"/>
      </w:r>
      <w:r w:rsidR="00F25699">
        <w:instrText xml:space="preserve"> SEQ Table \* ARABIC \s 1 </w:instrText>
      </w:r>
      <w:r w:rsidR="00F25699">
        <w:fldChar w:fldCharType="separate"/>
      </w:r>
      <w:r w:rsidR="00EF45A4">
        <w:rPr>
          <w:noProof/>
        </w:rPr>
        <w:t>2</w:t>
      </w:r>
      <w:r w:rsidR="00F25699">
        <w:rPr>
          <w:noProof/>
        </w:rPr>
        <w:fldChar w:fldCharType="end"/>
      </w:r>
      <w:r>
        <w:t xml:space="preserve">: </w:t>
      </w:r>
      <w:r w:rsidRPr="00F74D88">
        <w:t xml:space="preserve">Information Sources for Three </w:t>
      </w:r>
      <w:r>
        <w:t>Levels of NTGR Analysis</w:t>
      </w:r>
    </w:p>
    <w:tbl>
      <w:tblPr>
        <w:tblW w:w="8677"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00" w:firstRow="0" w:lastRow="0" w:firstColumn="0" w:lastColumn="0" w:noHBand="0" w:noVBand="0"/>
      </w:tblPr>
      <w:tblGrid>
        <w:gridCol w:w="1530"/>
        <w:gridCol w:w="990"/>
        <w:gridCol w:w="1423"/>
        <w:gridCol w:w="894"/>
        <w:gridCol w:w="1528"/>
        <w:gridCol w:w="1195"/>
        <w:gridCol w:w="1117"/>
      </w:tblGrid>
      <w:tr w:rsidR="00BD7911" w:rsidRPr="00FC3FF9" w:rsidTr="00322EFB">
        <w:trPr>
          <w:trHeight w:val="1275"/>
        </w:trPr>
        <w:tc>
          <w:tcPr>
            <w:tcW w:w="1530" w:type="dxa"/>
            <w:shd w:val="pct20" w:color="auto" w:fill="FFFFFF" w:themeFill="background1"/>
            <w:noWrap/>
            <w:vAlign w:val="bottom"/>
          </w:tcPr>
          <w:p w:rsidR="00BD7911" w:rsidRDefault="00BD7911" w:rsidP="00BD7911">
            <w:pPr>
              <w:spacing w:after="0" w:line="276" w:lineRule="auto"/>
              <w:jc w:val="center"/>
              <w:rPr>
                <w:sz w:val="20"/>
              </w:rPr>
            </w:pPr>
          </w:p>
        </w:tc>
        <w:tc>
          <w:tcPr>
            <w:tcW w:w="990" w:type="dxa"/>
            <w:shd w:val="pct20" w:color="auto" w:fill="FFFFFF" w:themeFill="background1"/>
            <w:vAlign w:val="bottom"/>
          </w:tcPr>
          <w:p w:rsidR="00BD7911" w:rsidRDefault="00BD7911" w:rsidP="00BD7911">
            <w:pPr>
              <w:spacing w:after="0" w:line="276" w:lineRule="auto"/>
              <w:jc w:val="center"/>
              <w:rPr>
                <w:b/>
                <w:bCs/>
                <w:sz w:val="20"/>
              </w:rPr>
            </w:pPr>
            <w:r w:rsidRPr="006A6EC1">
              <w:rPr>
                <w:b/>
                <w:bCs/>
                <w:sz w:val="20"/>
              </w:rPr>
              <w:t>Program</w:t>
            </w:r>
            <w:r w:rsidRPr="006A6EC1">
              <w:rPr>
                <w:b/>
                <w:bCs/>
                <w:sz w:val="20"/>
              </w:rPr>
              <w:br/>
              <w:t>File</w:t>
            </w:r>
          </w:p>
        </w:tc>
        <w:tc>
          <w:tcPr>
            <w:tcW w:w="1423" w:type="dxa"/>
            <w:shd w:val="pct20" w:color="auto" w:fill="FFFFFF" w:themeFill="background1"/>
            <w:vAlign w:val="bottom"/>
          </w:tcPr>
          <w:p w:rsidR="00BD7911" w:rsidRDefault="00BD7911" w:rsidP="00BD7911">
            <w:pPr>
              <w:spacing w:after="0" w:line="276" w:lineRule="auto"/>
              <w:jc w:val="center"/>
              <w:rPr>
                <w:b/>
                <w:bCs/>
                <w:sz w:val="20"/>
              </w:rPr>
            </w:pPr>
            <w:r w:rsidRPr="006A6EC1">
              <w:rPr>
                <w:b/>
                <w:bCs/>
                <w:sz w:val="20"/>
              </w:rPr>
              <w:t>Decision Maker</w:t>
            </w:r>
            <w:r w:rsidRPr="006A6EC1">
              <w:rPr>
                <w:b/>
                <w:bCs/>
                <w:sz w:val="20"/>
              </w:rPr>
              <w:br/>
              <w:t>Survey Core Question</w:t>
            </w:r>
          </w:p>
        </w:tc>
        <w:tc>
          <w:tcPr>
            <w:tcW w:w="894" w:type="dxa"/>
            <w:shd w:val="pct20" w:color="auto" w:fill="FFFFFF" w:themeFill="background1"/>
            <w:vAlign w:val="bottom"/>
          </w:tcPr>
          <w:p w:rsidR="00BD7911" w:rsidRDefault="00BD7911" w:rsidP="00BD7911">
            <w:pPr>
              <w:spacing w:after="0" w:line="276" w:lineRule="auto"/>
              <w:jc w:val="center"/>
              <w:rPr>
                <w:b/>
                <w:bCs/>
                <w:sz w:val="20"/>
              </w:rPr>
            </w:pPr>
            <w:r w:rsidRPr="006A6EC1">
              <w:rPr>
                <w:b/>
                <w:bCs/>
                <w:sz w:val="20"/>
              </w:rPr>
              <w:t xml:space="preserve">Vendor </w:t>
            </w:r>
            <w:r w:rsidRPr="006A6EC1">
              <w:rPr>
                <w:b/>
                <w:bCs/>
                <w:sz w:val="20"/>
              </w:rPr>
              <w:br/>
              <w:t>Surveys</w:t>
            </w:r>
          </w:p>
        </w:tc>
        <w:tc>
          <w:tcPr>
            <w:tcW w:w="1528" w:type="dxa"/>
            <w:shd w:val="pct20" w:color="auto" w:fill="FFFFFF" w:themeFill="background1"/>
            <w:vAlign w:val="bottom"/>
          </w:tcPr>
          <w:p w:rsidR="00BD7911" w:rsidRDefault="00BD7911" w:rsidP="00BD7911">
            <w:pPr>
              <w:spacing w:after="0" w:line="276" w:lineRule="auto"/>
              <w:jc w:val="center"/>
              <w:rPr>
                <w:b/>
                <w:bCs/>
                <w:sz w:val="20"/>
              </w:rPr>
            </w:pPr>
            <w:r w:rsidRPr="006A6EC1">
              <w:rPr>
                <w:b/>
                <w:bCs/>
                <w:sz w:val="20"/>
              </w:rPr>
              <w:t>Decision Maker Survey</w:t>
            </w:r>
            <w:r w:rsidRPr="006A6EC1">
              <w:rPr>
                <w:b/>
                <w:bCs/>
                <w:sz w:val="20"/>
              </w:rPr>
              <w:br/>
              <w:t>Supplemental Questions</w:t>
            </w:r>
          </w:p>
        </w:tc>
        <w:tc>
          <w:tcPr>
            <w:tcW w:w="1195" w:type="dxa"/>
            <w:shd w:val="pct20" w:color="auto" w:fill="FFFFFF" w:themeFill="background1"/>
            <w:vAlign w:val="bottom"/>
          </w:tcPr>
          <w:p w:rsidR="00BD7911" w:rsidRDefault="00BD7911" w:rsidP="00BD7911">
            <w:pPr>
              <w:spacing w:after="0" w:line="276" w:lineRule="auto"/>
              <w:jc w:val="center"/>
              <w:rPr>
                <w:b/>
                <w:bCs/>
                <w:sz w:val="20"/>
              </w:rPr>
            </w:pPr>
            <w:r w:rsidRPr="006A6EC1">
              <w:rPr>
                <w:b/>
                <w:bCs/>
                <w:sz w:val="20"/>
              </w:rPr>
              <w:t>Utility &amp; Program</w:t>
            </w:r>
            <w:r w:rsidRPr="006A6EC1">
              <w:rPr>
                <w:b/>
                <w:bCs/>
                <w:sz w:val="20"/>
              </w:rPr>
              <w:br/>
              <w:t>Staff Interviews</w:t>
            </w:r>
          </w:p>
        </w:tc>
        <w:tc>
          <w:tcPr>
            <w:tcW w:w="1117" w:type="dxa"/>
            <w:shd w:val="pct20" w:color="auto" w:fill="FFFFFF" w:themeFill="background1"/>
            <w:vAlign w:val="bottom"/>
          </w:tcPr>
          <w:p w:rsidR="00BD7911" w:rsidRDefault="00BD7911" w:rsidP="00BD7911">
            <w:pPr>
              <w:spacing w:after="0" w:line="276" w:lineRule="auto"/>
              <w:jc w:val="center"/>
              <w:rPr>
                <w:b/>
                <w:bCs/>
                <w:sz w:val="20"/>
              </w:rPr>
            </w:pPr>
            <w:r w:rsidRPr="006A6EC1">
              <w:rPr>
                <w:b/>
                <w:bCs/>
                <w:sz w:val="20"/>
              </w:rPr>
              <w:t>Other Research</w:t>
            </w:r>
            <w:r w:rsidRPr="006A6EC1">
              <w:rPr>
                <w:b/>
                <w:bCs/>
                <w:sz w:val="20"/>
              </w:rPr>
              <w:br/>
              <w:t>Findings</w:t>
            </w:r>
          </w:p>
        </w:tc>
      </w:tr>
      <w:tr w:rsidR="00BD7911" w:rsidRPr="00FC3FF9" w:rsidTr="00322EFB">
        <w:trPr>
          <w:trHeight w:val="600"/>
        </w:trPr>
        <w:tc>
          <w:tcPr>
            <w:tcW w:w="1530" w:type="dxa"/>
            <w:shd w:val="clear" w:color="auto" w:fill="auto"/>
            <w:noWrap/>
            <w:vAlign w:val="center"/>
          </w:tcPr>
          <w:p w:rsidR="00BD7911" w:rsidRDefault="00BD7911" w:rsidP="00BD7911">
            <w:pPr>
              <w:spacing w:after="0" w:line="276" w:lineRule="auto"/>
              <w:rPr>
                <w:sz w:val="20"/>
              </w:rPr>
            </w:pPr>
            <w:r w:rsidRPr="006A6EC1">
              <w:rPr>
                <w:sz w:val="20"/>
              </w:rPr>
              <w:t>Basic NTGR</w:t>
            </w:r>
          </w:p>
        </w:tc>
        <w:tc>
          <w:tcPr>
            <w:tcW w:w="990" w:type="dxa"/>
            <w:shd w:val="clear" w:color="auto" w:fill="auto"/>
            <w:vAlign w:val="center"/>
          </w:tcPr>
          <w:p w:rsidR="00BD7911" w:rsidRDefault="00BD7911" w:rsidP="00BD7911">
            <w:pPr>
              <w:spacing w:after="0" w:line="276" w:lineRule="auto"/>
              <w:jc w:val="center"/>
              <w:rPr>
                <w:b/>
                <w:bCs/>
              </w:rPr>
            </w:pPr>
            <w:r w:rsidRPr="006A6EC1">
              <w:rPr>
                <w:b/>
                <w:bCs/>
              </w:rPr>
              <w:t>√</w:t>
            </w:r>
          </w:p>
        </w:tc>
        <w:tc>
          <w:tcPr>
            <w:tcW w:w="1423" w:type="dxa"/>
            <w:shd w:val="clear" w:color="auto" w:fill="auto"/>
            <w:vAlign w:val="center"/>
          </w:tcPr>
          <w:p w:rsidR="00BD7911" w:rsidRDefault="00BD7911" w:rsidP="00BD7911">
            <w:pPr>
              <w:spacing w:after="0" w:line="276" w:lineRule="auto"/>
              <w:jc w:val="center"/>
              <w:rPr>
                <w:b/>
                <w:bCs/>
              </w:rPr>
            </w:pPr>
            <w:r w:rsidRPr="006A6EC1">
              <w:rPr>
                <w:b/>
                <w:bCs/>
              </w:rPr>
              <w:t>√</w:t>
            </w:r>
          </w:p>
        </w:tc>
        <w:tc>
          <w:tcPr>
            <w:tcW w:w="894" w:type="dxa"/>
            <w:shd w:val="clear" w:color="auto" w:fill="auto"/>
            <w:vAlign w:val="center"/>
          </w:tcPr>
          <w:p w:rsidR="00BD7911" w:rsidRDefault="00BD7911" w:rsidP="00BD7911">
            <w:pPr>
              <w:spacing w:after="0" w:line="276" w:lineRule="auto"/>
              <w:jc w:val="center"/>
              <w:rPr>
                <w:b/>
                <w:bCs/>
              </w:rPr>
            </w:pPr>
            <w:r w:rsidRPr="006A6EC1">
              <w:rPr>
                <w:b/>
                <w:bCs/>
              </w:rPr>
              <w:t>√</w:t>
            </w:r>
            <w:r w:rsidRPr="006A6EC1">
              <w:rPr>
                <w:vertAlign w:val="superscript"/>
              </w:rPr>
              <w:t>1</w:t>
            </w:r>
          </w:p>
        </w:tc>
        <w:tc>
          <w:tcPr>
            <w:tcW w:w="1528" w:type="dxa"/>
            <w:shd w:val="clear" w:color="auto" w:fill="auto"/>
            <w:noWrap/>
            <w:vAlign w:val="center"/>
          </w:tcPr>
          <w:p w:rsidR="00BD7911" w:rsidRDefault="00BD7911" w:rsidP="00BD7911">
            <w:pPr>
              <w:spacing w:after="0" w:line="276" w:lineRule="auto"/>
              <w:rPr>
                <w:sz w:val="20"/>
              </w:rPr>
            </w:pPr>
            <w:r w:rsidRPr="006A6EC1">
              <w:rPr>
                <w:sz w:val="20"/>
              </w:rPr>
              <w:t> </w:t>
            </w:r>
          </w:p>
        </w:tc>
        <w:tc>
          <w:tcPr>
            <w:tcW w:w="1195" w:type="dxa"/>
            <w:shd w:val="clear" w:color="auto" w:fill="auto"/>
            <w:noWrap/>
            <w:vAlign w:val="center"/>
          </w:tcPr>
          <w:p w:rsidR="00BD7911" w:rsidRDefault="00BD7911" w:rsidP="00BD7911">
            <w:pPr>
              <w:spacing w:after="0" w:line="276" w:lineRule="auto"/>
              <w:jc w:val="center"/>
              <w:rPr>
                <w:sz w:val="20"/>
              </w:rPr>
            </w:pPr>
            <w:r w:rsidRPr="006A6EC1">
              <w:rPr>
                <w:b/>
                <w:bCs/>
              </w:rPr>
              <w:t>√</w:t>
            </w:r>
            <w:r w:rsidRPr="006A6EC1">
              <w:rPr>
                <w:vertAlign w:val="superscript"/>
              </w:rPr>
              <w:t>2</w:t>
            </w:r>
          </w:p>
        </w:tc>
        <w:tc>
          <w:tcPr>
            <w:tcW w:w="1117" w:type="dxa"/>
            <w:shd w:val="clear" w:color="auto" w:fill="auto"/>
            <w:noWrap/>
            <w:vAlign w:val="center"/>
          </w:tcPr>
          <w:p w:rsidR="00BD7911" w:rsidRDefault="00BD7911" w:rsidP="00BD7911">
            <w:pPr>
              <w:spacing w:after="0" w:line="276" w:lineRule="auto"/>
              <w:rPr>
                <w:sz w:val="20"/>
              </w:rPr>
            </w:pPr>
            <w:r w:rsidRPr="006A6EC1">
              <w:rPr>
                <w:sz w:val="20"/>
              </w:rPr>
              <w:t> </w:t>
            </w:r>
          </w:p>
        </w:tc>
      </w:tr>
      <w:tr w:rsidR="00BD7911" w:rsidRPr="00FC3FF9" w:rsidTr="00322EFB">
        <w:trPr>
          <w:trHeight w:val="510"/>
        </w:trPr>
        <w:tc>
          <w:tcPr>
            <w:tcW w:w="1530" w:type="dxa"/>
            <w:shd w:val="clear" w:color="auto" w:fill="auto"/>
            <w:vAlign w:val="center"/>
          </w:tcPr>
          <w:p w:rsidR="00BD7911" w:rsidRDefault="00BD7911" w:rsidP="00BD7911">
            <w:pPr>
              <w:spacing w:after="0" w:line="276" w:lineRule="auto"/>
              <w:rPr>
                <w:sz w:val="20"/>
              </w:rPr>
            </w:pPr>
            <w:r w:rsidRPr="006A6EC1">
              <w:rPr>
                <w:sz w:val="20"/>
              </w:rPr>
              <w:t>Standard</w:t>
            </w:r>
            <w:r w:rsidRPr="006A6EC1">
              <w:rPr>
                <w:sz w:val="20"/>
              </w:rPr>
              <w:br/>
              <w:t>NTGR</w:t>
            </w:r>
          </w:p>
        </w:tc>
        <w:tc>
          <w:tcPr>
            <w:tcW w:w="990" w:type="dxa"/>
            <w:shd w:val="clear" w:color="auto" w:fill="auto"/>
            <w:vAlign w:val="center"/>
          </w:tcPr>
          <w:p w:rsidR="00BD7911" w:rsidRDefault="00BD7911" w:rsidP="00BD7911">
            <w:pPr>
              <w:spacing w:after="0" w:line="276" w:lineRule="auto"/>
              <w:jc w:val="center"/>
              <w:rPr>
                <w:b/>
                <w:bCs/>
              </w:rPr>
            </w:pPr>
            <w:r w:rsidRPr="006A6EC1">
              <w:rPr>
                <w:b/>
                <w:bCs/>
              </w:rPr>
              <w:t>√</w:t>
            </w:r>
          </w:p>
        </w:tc>
        <w:tc>
          <w:tcPr>
            <w:tcW w:w="1423" w:type="dxa"/>
            <w:shd w:val="clear" w:color="auto" w:fill="auto"/>
            <w:vAlign w:val="center"/>
          </w:tcPr>
          <w:p w:rsidR="00BD7911" w:rsidRDefault="00BD7911" w:rsidP="00BD7911">
            <w:pPr>
              <w:spacing w:after="0" w:line="276" w:lineRule="auto"/>
              <w:jc w:val="center"/>
              <w:rPr>
                <w:b/>
                <w:bCs/>
              </w:rPr>
            </w:pPr>
            <w:r w:rsidRPr="006A6EC1">
              <w:rPr>
                <w:b/>
                <w:bCs/>
              </w:rPr>
              <w:t>√</w:t>
            </w:r>
          </w:p>
        </w:tc>
        <w:tc>
          <w:tcPr>
            <w:tcW w:w="894" w:type="dxa"/>
            <w:shd w:val="clear" w:color="auto" w:fill="auto"/>
            <w:vAlign w:val="center"/>
          </w:tcPr>
          <w:p w:rsidR="00BD7911" w:rsidRDefault="00BD7911" w:rsidP="00BD7911">
            <w:pPr>
              <w:spacing w:after="0" w:line="276" w:lineRule="auto"/>
              <w:jc w:val="center"/>
              <w:rPr>
                <w:b/>
                <w:bCs/>
              </w:rPr>
            </w:pPr>
            <w:r w:rsidRPr="006A6EC1">
              <w:rPr>
                <w:b/>
                <w:bCs/>
              </w:rPr>
              <w:t>√</w:t>
            </w:r>
            <w:r w:rsidRPr="006A6EC1">
              <w:rPr>
                <w:vertAlign w:val="superscript"/>
              </w:rPr>
              <w:t>1</w:t>
            </w:r>
          </w:p>
        </w:tc>
        <w:tc>
          <w:tcPr>
            <w:tcW w:w="1528" w:type="dxa"/>
            <w:shd w:val="clear" w:color="auto" w:fill="auto"/>
            <w:vAlign w:val="center"/>
          </w:tcPr>
          <w:p w:rsidR="00BD7911" w:rsidRDefault="00BD7911" w:rsidP="00BD7911">
            <w:pPr>
              <w:spacing w:after="0" w:line="276" w:lineRule="auto"/>
              <w:jc w:val="center"/>
              <w:rPr>
                <w:b/>
                <w:bCs/>
              </w:rPr>
            </w:pPr>
            <w:r w:rsidRPr="006A6EC1">
              <w:rPr>
                <w:b/>
                <w:bCs/>
              </w:rPr>
              <w:t>√</w:t>
            </w:r>
          </w:p>
        </w:tc>
        <w:tc>
          <w:tcPr>
            <w:tcW w:w="1195" w:type="dxa"/>
            <w:shd w:val="clear" w:color="auto" w:fill="auto"/>
            <w:vAlign w:val="center"/>
          </w:tcPr>
          <w:p w:rsidR="00BD7911" w:rsidRDefault="00BD7911" w:rsidP="00BD7911">
            <w:pPr>
              <w:spacing w:after="0" w:line="276" w:lineRule="auto"/>
              <w:jc w:val="center"/>
              <w:rPr>
                <w:b/>
                <w:bCs/>
              </w:rPr>
            </w:pPr>
            <w:r w:rsidRPr="006A6EC1">
              <w:rPr>
                <w:b/>
                <w:bCs/>
              </w:rPr>
              <w:t>√</w:t>
            </w:r>
          </w:p>
        </w:tc>
        <w:tc>
          <w:tcPr>
            <w:tcW w:w="1117" w:type="dxa"/>
            <w:shd w:val="clear" w:color="auto" w:fill="auto"/>
            <w:noWrap/>
            <w:vAlign w:val="center"/>
          </w:tcPr>
          <w:p w:rsidR="00BD7911" w:rsidRDefault="00BD7911" w:rsidP="00BD7911">
            <w:pPr>
              <w:spacing w:after="0" w:line="276" w:lineRule="auto"/>
              <w:rPr>
                <w:sz w:val="20"/>
              </w:rPr>
            </w:pPr>
            <w:r w:rsidRPr="006A6EC1">
              <w:rPr>
                <w:sz w:val="20"/>
              </w:rPr>
              <w:t> </w:t>
            </w:r>
          </w:p>
        </w:tc>
      </w:tr>
      <w:tr w:rsidR="00BD7911" w:rsidRPr="00FC3FF9" w:rsidTr="00322EFB">
        <w:trPr>
          <w:trHeight w:val="765"/>
        </w:trPr>
        <w:tc>
          <w:tcPr>
            <w:tcW w:w="1530" w:type="dxa"/>
            <w:shd w:val="clear" w:color="auto" w:fill="auto"/>
            <w:vAlign w:val="center"/>
          </w:tcPr>
          <w:p w:rsidR="00BD7911" w:rsidRDefault="00BD7911" w:rsidP="00BD7911">
            <w:pPr>
              <w:spacing w:after="0" w:line="276" w:lineRule="auto"/>
              <w:jc w:val="left"/>
              <w:rPr>
                <w:sz w:val="20"/>
              </w:rPr>
            </w:pPr>
            <w:r w:rsidRPr="006A6EC1">
              <w:rPr>
                <w:sz w:val="20"/>
              </w:rPr>
              <w:t xml:space="preserve">Standard </w:t>
            </w:r>
            <w:r w:rsidRPr="00FC3FF9">
              <w:rPr>
                <w:sz w:val="20"/>
              </w:rPr>
              <w:t xml:space="preserve">Very Large </w:t>
            </w:r>
            <w:r w:rsidRPr="006A6EC1">
              <w:rPr>
                <w:sz w:val="20"/>
              </w:rPr>
              <w:t xml:space="preserve">NTGR  </w:t>
            </w:r>
          </w:p>
        </w:tc>
        <w:tc>
          <w:tcPr>
            <w:tcW w:w="990" w:type="dxa"/>
            <w:shd w:val="clear" w:color="auto" w:fill="auto"/>
            <w:vAlign w:val="center"/>
          </w:tcPr>
          <w:p w:rsidR="00BD7911" w:rsidRDefault="00BD7911" w:rsidP="00BD7911">
            <w:pPr>
              <w:spacing w:after="0" w:line="276" w:lineRule="auto"/>
              <w:jc w:val="center"/>
              <w:rPr>
                <w:b/>
                <w:bCs/>
              </w:rPr>
            </w:pPr>
            <w:r w:rsidRPr="006A6EC1">
              <w:rPr>
                <w:b/>
                <w:bCs/>
              </w:rPr>
              <w:t>√</w:t>
            </w:r>
          </w:p>
        </w:tc>
        <w:tc>
          <w:tcPr>
            <w:tcW w:w="1423" w:type="dxa"/>
            <w:shd w:val="clear" w:color="auto" w:fill="auto"/>
            <w:vAlign w:val="center"/>
          </w:tcPr>
          <w:p w:rsidR="00BD7911" w:rsidRDefault="00BD7911" w:rsidP="00BD7911">
            <w:pPr>
              <w:spacing w:after="0" w:line="276" w:lineRule="auto"/>
              <w:jc w:val="center"/>
              <w:rPr>
                <w:b/>
                <w:bCs/>
              </w:rPr>
            </w:pPr>
            <w:r w:rsidRPr="006A6EC1">
              <w:rPr>
                <w:b/>
                <w:bCs/>
              </w:rPr>
              <w:t>√</w:t>
            </w:r>
          </w:p>
        </w:tc>
        <w:tc>
          <w:tcPr>
            <w:tcW w:w="894" w:type="dxa"/>
            <w:shd w:val="clear" w:color="auto" w:fill="auto"/>
            <w:vAlign w:val="center"/>
          </w:tcPr>
          <w:p w:rsidR="00BD7911" w:rsidRDefault="00BD7911" w:rsidP="00BD7911">
            <w:pPr>
              <w:spacing w:after="0" w:line="276" w:lineRule="auto"/>
              <w:jc w:val="center"/>
              <w:rPr>
                <w:b/>
                <w:bCs/>
              </w:rPr>
            </w:pPr>
            <w:r w:rsidRPr="006A6EC1">
              <w:rPr>
                <w:b/>
                <w:bCs/>
              </w:rPr>
              <w:t>√</w:t>
            </w:r>
            <w:r w:rsidRPr="006A6EC1">
              <w:rPr>
                <w:szCs w:val="22"/>
                <w:vertAlign w:val="superscript"/>
              </w:rPr>
              <w:t>3</w:t>
            </w:r>
          </w:p>
        </w:tc>
        <w:tc>
          <w:tcPr>
            <w:tcW w:w="1528" w:type="dxa"/>
            <w:shd w:val="clear" w:color="auto" w:fill="auto"/>
            <w:vAlign w:val="center"/>
          </w:tcPr>
          <w:p w:rsidR="00BD7911" w:rsidRDefault="00BD7911" w:rsidP="00BD7911">
            <w:pPr>
              <w:spacing w:after="0" w:line="276" w:lineRule="auto"/>
              <w:jc w:val="center"/>
              <w:rPr>
                <w:b/>
                <w:bCs/>
              </w:rPr>
            </w:pPr>
            <w:r w:rsidRPr="006A6EC1">
              <w:rPr>
                <w:b/>
                <w:bCs/>
              </w:rPr>
              <w:t>√</w:t>
            </w:r>
          </w:p>
        </w:tc>
        <w:tc>
          <w:tcPr>
            <w:tcW w:w="1195" w:type="dxa"/>
            <w:shd w:val="clear" w:color="auto" w:fill="auto"/>
            <w:vAlign w:val="center"/>
          </w:tcPr>
          <w:p w:rsidR="00BD7911" w:rsidRDefault="00BD7911" w:rsidP="00BD7911">
            <w:pPr>
              <w:spacing w:after="0" w:line="276" w:lineRule="auto"/>
              <w:jc w:val="center"/>
              <w:rPr>
                <w:b/>
                <w:bCs/>
              </w:rPr>
            </w:pPr>
            <w:r w:rsidRPr="006A6EC1">
              <w:rPr>
                <w:b/>
                <w:bCs/>
              </w:rPr>
              <w:t>√</w:t>
            </w:r>
          </w:p>
        </w:tc>
        <w:tc>
          <w:tcPr>
            <w:tcW w:w="1117" w:type="dxa"/>
            <w:shd w:val="clear" w:color="auto" w:fill="auto"/>
            <w:vAlign w:val="center"/>
          </w:tcPr>
          <w:p w:rsidR="00BD7911" w:rsidRDefault="00BD7911" w:rsidP="00BD7911">
            <w:pPr>
              <w:spacing w:after="0" w:line="276" w:lineRule="auto"/>
              <w:jc w:val="center"/>
              <w:rPr>
                <w:b/>
                <w:bCs/>
              </w:rPr>
            </w:pPr>
            <w:r w:rsidRPr="006A6EC1">
              <w:rPr>
                <w:b/>
                <w:bCs/>
              </w:rPr>
              <w:t>√</w:t>
            </w:r>
          </w:p>
        </w:tc>
      </w:tr>
    </w:tbl>
    <w:p w:rsidR="00B21CFB" w:rsidRPr="00BD7911" w:rsidRDefault="00B149F5" w:rsidP="00322EFB">
      <w:pPr>
        <w:pStyle w:val="BodyText"/>
        <w:spacing w:before="60" w:after="0" w:line="276" w:lineRule="auto"/>
        <w:ind w:left="450" w:hanging="180"/>
        <w:rPr>
          <w:rStyle w:val="tablefootnoteChar"/>
        </w:rPr>
      </w:pPr>
      <w:r>
        <w:rPr>
          <w:rFonts w:ascii="Times New Roman" w:hAnsi="Times New Roman"/>
          <w:szCs w:val="22"/>
          <w:vertAlign w:val="superscript"/>
        </w:rPr>
        <w:t>1</w:t>
      </w:r>
      <w:r w:rsidR="00BD7911">
        <w:rPr>
          <w:rFonts w:ascii="Times New Roman" w:hAnsi="Times New Roman"/>
          <w:szCs w:val="22"/>
          <w:vertAlign w:val="superscript"/>
        </w:rPr>
        <w:t xml:space="preserve"> </w:t>
      </w:r>
      <w:r w:rsidR="00322EFB">
        <w:rPr>
          <w:rFonts w:ascii="Times New Roman" w:hAnsi="Times New Roman"/>
          <w:szCs w:val="22"/>
          <w:vertAlign w:val="superscript"/>
        </w:rPr>
        <w:tab/>
      </w:r>
      <w:r w:rsidRPr="00322EFB">
        <w:rPr>
          <w:rStyle w:val="tablefootnoteChar"/>
          <w:sz w:val="20"/>
        </w:rPr>
        <w:t>Only performed for sites that indicate a vendor influence score (N3d) greater than maximum of the other program element scores (N3b, N3c, N3g, N3h, N3l).</w:t>
      </w:r>
    </w:p>
    <w:p w:rsidR="00B21CFB" w:rsidRPr="00BD7911" w:rsidRDefault="00B149F5" w:rsidP="00322EFB">
      <w:pPr>
        <w:pStyle w:val="BodyText"/>
        <w:spacing w:before="60" w:after="0" w:line="276" w:lineRule="auto"/>
        <w:ind w:left="450" w:hanging="180"/>
        <w:rPr>
          <w:rStyle w:val="tablefootnoteChar"/>
        </w:rPr>
      </w:pPr>
      <w:r>
        <w:rPr>
          <w:rFonts w:ascii="Times New Roman" w:hAnsi="Times New Roman"/>
          <w:szCs w:val="22"/>
          <w:vertAlign w:val="superscript"/>
        </w:rPr>
        <w:t>2</w:t>
      </w:r>
      <w:r w:rsidR="00BD7911">
        <w:rPr>
          <w:rFonts w:ascii="Times New Roman" w:hAnsi="Times New Roman"/>
          <w:szCs w:val="22"/>
          <w:vertAlign w:val="superscript"/>
        </w:rPr>
        <w:tab/>
      </w:r>
      <w:r w:rsidRPr="00322EFB">
        <w:rPr>
          <w:rStyle w:val="tablefootnoteChar"/>
          <w:sz w:val="20"/>
        </w:rPr>
        <w:t>Only performed for sites that have a utility account representative</w:t>
      </w:r>
    </w:p>
    <w:p w:rsidR="00B21CFB" w:rsidRDefault="00B149F5" w:rsidP="00322EFB">
      <w:pPr>
        <w:spacing w:after="130"/>
        <w:ind w:left="450" w:hanging="180"/>
      </w:pPr>
      <w:r>
        <w:rPr>
          <w:szCs w:val="22"/>
          <w:vertAlign w:val="superscript"/>
        </w:rPr>
        <w:t>3</w:t>
      </w:r>
      <w:r w:rsidR="00322EFB">
        <w:rPr>
          <w:szCs w:val="22"/>
          <w:vertAlign w:val="superscript"/>
        </w:rPr>
        <w:t xml:space="preserve"> </w:t>
      </w:r>
      <w:r w:rsidR="00322EFB">
        <w:rPr>
          <w:szCs w:val="22"/>
          <w:vertAlign w:val="superscript"/>
        </w:rPr>
        <w:tab/>
      </w:r>
      <w:r w:rsidRPr="00322EFB">
        <w:rPr>
          <w:rStyle w:val="tablefootnoteChar"/>
          <w:sz w:val="20"/>
          <w:szCs w:val="20"/>
        </w:rPr>
        <w:t>Only performed if significant vendor influence reported or if secondary research indicates the installed measure may be becoming standard practice.</w:t>
      </w:r>
    </w:p>
    <w:p w:rsidR="00B21CFB" w:rsidRDefault="00B21CFB">
      <w:pPr>
        <w:spacing w:line="276" w:lineRule="auto"/>
        <w:rPr>
          <w:b/>
          <w:sz w:val="6"/>
          <w:szCs w:val="6"/>
        </w:rPr>
      </w:pPr>
      <w:bookmarkStart w:id="4" w:name="_Toc187480963"/>
      <w:bookmarkStart w:id="5" w:name="_Toc228342279"/>
    </w:p>
    <w:p w:rsidR="00B21CFB" w:rsidRDefault="00B149F5" w:rsidP="00BD7911">
      <w:proofErr w:type="gramStart"/>
      <w:r w:rsidRPr="00C8271D">
        <w:rPr>
          <w:b/>
        </w:rPr>
        <w:t>NTGR Questions and Scoring Algorithm</w:t>
      </w:r>
      <w:bookmarkEnd w:id="4"/>
      <w:bookmarkEnd w:id="5"/>
      <w:r>
        <w:rPr>
          <w:b/>
        </w:rPr>
        <w:t>.</w:t>
      </w:r>
      <w:proofErr w:type="gramEnd"/>
      <w:r w:rsidRPr="00C8271D">
        <w:t xml:space="preserve"> </w:t>
      </w:r>
      <w:r>
        <w:t>The</w:t>
      </w:r>
      <w:r w:rsidRPr="002426B4">
        <w:t xml:space="preserve"> NTGR is calculated as an average of three scores.  Each of these scores represents the highest response </w:t>
      </w:r>
      <w:r>
        <w:t xml:space="preserve">or the average of several responses </w:t>
      </w:r>
      <w:r w:rsidRPr="002426B4">
        <w:t xml:space="preserve">given to one or more questions about the decision to install a program measure. </w:t>
      </w:r>
    </w:p>
    <w:p w:rsidR="00B21CFB" w:rsidRDefault="00B149F5" w:rsidP="00FF4B69">
      <w:pPr>
        <w:numPr>
          <w:ilvl w:val="0"/>
          <w:numId w:val="7"/>
        </w:numPr>
        <w:spacing w:after="0" w:line="276" w:lineRule="auto"/>
        <w:jc w:val="left"/>
      </w:pPr>
      <w:r w:rsidRPr="002426B4">
        <w:t xml:space="preserve">A </w:t>
      </w:r>
      <w:r w:rsidRPr="002426B4">
        <w:rPr>
          <w:b/>
        </w:rPr>
        <w:t>Timing and Selection</w:t>
      </w:r>
      <w:r w:rsidRPr="002426B4">
        <w:t xml:space="preserve"> score that </w:t>
      </w:r>
      <w:r>
        <w:t>reflect</w:t>
      </w:r>
      <w:r w:rsidRPr="002426B4">
        <w:t xml:space="preserve">s the influence of the </w:t>
      </w:r>
      <w:r w:rsidRPr="002426B4">
        <w:rPr>
          <w:b/>
        </w:rPr>
        <w:t>most important</w:t>
      </w:r>
      <w:r w:rsidRPr="002426B4">
        <w:t xml:space="preserve"> of various program and program-related elements in the customer’s decision to select the specific program measure at this time. Program influence through vendor recommendations is also </w:t>
      </w:r>
      <w:r>
        <w:t>incorporate</w:t>
      </w:r>
      <w:r w:rsidRPr="002426B4">
        <w:t>d in this score.</w:t>
      </w:r>
    </w:p>
    <w:p w:rsidR="00B21CFB" w:rsidRDefault="00B149F5" w:rsidP="00FF4B69">
      <w:pPr>
        <w:numPr>
          <w:ilvl w:val="0"/>
          <w:numId w:val="7"/>
        </w:numPr>
        <w:spacing w:after="0" w:line="276" w:lineRule="auto"/>
        <w:jc w:val="left"/>
      </w:pPr>
      <w:r w:rsidRPr="002426B4">
        <w:t xml:space="preserve">A </w:t>
      </w:r>
      <w:r w:rsidRPr="002426B4">
        <w:rPr>
          <w:b/>
        </w:rPr>
        <w:t>Program Influence</w:t>
      </w:r>
      <w:r w:rsidRPr="002426B4">
        <w:t xml:space="preserve"> score that captures the perceived importance of the program (whether rebate, recommendation, training, or other program intervention) </w:t>
      </w:r>
      <w:r>
        <w:t xml:space="preserve">relative to non-program factors </w:t>
      </w:r>
      <w:r w:rsidRPr="002426B4">
        <w:t>in the decision to implement the specific measure that was eventually adopted or installed.</w:t>
      </w:r>
      <w:r>
        <w:t xml:space="preserve"> This score is determined by asking respondents to assign importance values to both the program and most important non-program influences so that the two total 10. The program influence score is adjusted (i.e., divided by 2) if </w:t>
      </w:r>
      <w:r>
        <w:lastRenderedPageBreak/>
        <w:t>respondents say they had already made their decision to install the specific program qualifying measure before they learned about the program.</w:t>
      </w:r>
    </w:p>
    <w:p w:rsidR="00B21CFB" w:rsidRDefault="00B149F5" w:rsidP="00FF4B69">
      <w:pPr>
        <w:numPr>
          <w:ilvl w:val="0"/>
          <w:numId w:val="7"/>
        </w:numPr>
        <w:spacing w:after="0" w:line="276" w:lineRule="auto"/>
        <w:jc w:val="left"/>
      </w:pPr>
      <w:r w:rsidRPr="002426B4">
        <w:t xml:space="preserve">A </w:t>
      </w:r>
      <w:r w:rsidRPr="002426B4">
        <w:rPr>
          <w:b/>
        </w:rPr>
        <w:t>No-Program</w:t>
      </w:r>
      <w:r w:rsidRPr="002426B4">
        <w:t xml:space="preserve"> score that captures the likelihood of </w:t>
      </w:r>
      <w:r>
        <w:t>that</w:t>
      </w:r>
      <w:r w:rsidRPr="002426B4">
        <w:t xml:space="preserve"> the customer might have taken </w:t>
      </w:r>
      <w:r>
        <w:t xml:space="preserve">the same program qualifying action </w:t>
      </w:r>
      <w:r w:rsidRPr="002426B4">
        <w:t>at this time and in the future if the program had not been available</w:t>
      </w:r>
      <w:r>
        <w:t xml:space="preserve"> (the counterfactual)</w:t>
      </w:r>
      <w:r w:rsidRPr="002426B4">
        <w:t xml:space="preserve">. This score </w:t>
      </w:r>
      <w:r>
        <w:t xml:space="preserve">also </w:t>
      </w:r>
      <w:r w:rsidRPr="002426B4">
        <w:t xml:space="preserve">accounts for deferred free ridership by </w:t>
      </w:r>
      <w:r>
        <w:t>incorporat</w:t>
      </w:r>
      <w:r w:rsidRPr="002426B4">
        <w:t xml:space="preserve">ing the likelihood that the customer would have installed </w:t>
      </w:r>
      <w:r>
        <w:t xml:space="preserve">the </w:t>
      </w:r>
      <w:r w:rsidRPr="002426B4">
        <w:t>program-qualifying measure at a later date if the program had not been available.</w:t>
      </w:r>
    </w:p>
    <w:p w:rsidR="00B21CFB" w:rsidRDefault="00077A05" w:rsidP="00077A05">
      <w:r>
        <w:br/>
      </w:r>
      <w:r w:rsidR="00B149F5" w:rsidRPr="002426B4">
        <w:t xml:space="preserve">When there are multiple questions that feed into the scoring algorithm, as is the case for the </w:t>
      </w:r>
      <w:r w:rsidR="00B149F5" w:rsidRPr="002426B4">
        <w:rPr>
          <w:b/>
        </w:rPr>
        <w:t>Timing and Selection</w:t>
      </w:r>
      <w:r w:rsidR="00B149F5" w:rsidRPr="002426B4">
        <w:t xml:space="preserve"> score, the maximum </w:t>
      </w:r>
      <w:r w:rsidR="00B149F5">
        <w:t xml:space="preserve">influence rating </w:t>
      </w:r>
      <w:r w:rsidR="00B149F5" w:rsidRPr="002426B4">
        <w:t>is used</w:t>
      </w:r>
      <w:r w:rsidR="00B149F5">
        <w:t>.</w:t>
      </w:r>
      <w:r w:rsidR="00B149F5" w:rsidRPr="002426B4">
        <w:t xml:space="preserve">  The rationale for using the maximum value is to capture the most important element in the participant’s decision making.  Thus, </w:t>
      </w:r>
      <w:r w:rsidR="00B149F5">
        <w:t>this</w:t>
      </w:r>
      <w:r w:rsidR="00B149F5" w:rsidRPr="002426B4">
        <w:t xml:space="preserve"> score is always based on the strongest influence indicated by the respondent.</w:t>
      </w:r>
      <w:r w:rsidR="00B149F5">
        <w:t xml:space="preserve"> However, high scores that are inconsistent with other previous responses trigger consistency checks and can lead to follow-up questions to clarify and resolve the discrepancy.  </w:t>
      </w:r>
    </w:p>
    <w:p w:rsidR="00B21CFB" w:rsidRDefault="00B149F5" w:rsidP="00077A05">
      <w:r w:rsidRPr="002426B4">
        <w:t xml:space="preserve">The self reported </w:t>
      </w:r>
      <w:r>
        <w:t xml:space="preserve">core NTGR </w:t>
      </w:r>
      <w:r w:rsidRPr="002426B4">
        <w:t>is simply the average of the Program Influence, Timing and Selection, and No-Program Scores, divided by 10.</w:t>
      </w:r>
      <w:r>
        <w:t xml:space="preserve"> </w:t>
      </w:r>
    </w:p>
    <w:p w:rsidR="00A365BC" w:rsidRDefault="006A6EC1" w:rsidP="00541DA8">
      <w:pPr>
        <w:rPr>
          <w:rFonts w:eastAsiaTheme="minorHAnsi"/>
        </w:rPr>
      </w:pPr>
      <w:r w:rsidRPr="006A6EC1">
        <w:rPr>
          <w:rFonts w:eastAsiaTheme="minorHAnsi"/>
          <w:b/>
        </w:rPr>
        <w:t>Sample sizes.</w:t>
      </w:r>
      <w:r w:rsidR="00B149F5">
        <w:rPr>
          <w:rFonts w:eastAsiaTheme="minorHAnsi"/>
        </w:rPr>
        <w:t xml:space="preserve"> </w:t>
      </w:r>
      <w:r w:rsidR="00F4292B">
        <w:rPr>
          <w:rFonts w:eastAsiaTheme="minorHAnsi"/>
        </w:rPr>
        <w:t xml:space="preserve">As </w:t>
      </w:r>
      <w:r w:rsidR="00396490">
        <w:rPr>
          <w:rFonts w:eastAsiaTheme="minorHAnsi"/>
        </w:rPr>
        <w:fldChar w:fldCharType="begin"/>
      </w:r>
      <w:r w:rsidR="00915976">
        <w:rPr>
          <w:rFonts w:eastAsiaTheme="minorHAnsi"/>
        </w:rPr>
        <w:instrText xml:space="preserve"> REF _Ref306699493 \h </w:instrText>
      </w:r>
      <w:r w:rsidR="00396490">
        <w:rPr>
          <w:rFonts w:eastAsiaTheme="minorHAnsi"/>
        </w:rPr>
      </w:r>
      <w:r w:rsidR="00396490">
        <w:rPr>
          <w:rFonts w:eastAsiaTheme="minorHAnsi"/>
        </w:rPr>
        <w:fldChar w:fldCharType="separate"/>
      </w:r>
      <w:r w:rsidR="00EF45A4">
        <w:t xml:space="preserve">Table </w:t>
      </w:r>
      <w:r w:rsidR="00EF45A4">
        <w:rPr>
          <w:noProof/>
        </w:rPr>
        <w:t>9</w:t>
      </w:r>
      <w:r w:rsidR="00EF45A4">
        <w:noBreakHyphen/>
      </w:r>
      <w:r w:rsidR="00EF45A4">
        <w:rPr>
          <w:noProof/>
        </w:rPr>
        <w:t>3</w:t>
      </w:r>
      <w:r w:rsidR="00396490">
        <w:rPr>
          <w:rFonts w:eastAsiaTheme="minorHAnsi"/>
        </w:rPr>
        <w:fldChar w:fldCharType="end"/>
      </w:r>
      <w:r w:rsidR="00F4292B">
        <w:rPr>
          <w:rFonts w:eastAsiaTheme="minorHAnsi"/>
        </w:rPr>
        <w:t xml:space="preserve"> </w:t>
      </w:r>
      <w:r w:rsidR="00172BCF">
        <w:rPr>
          <w:rFonts w:eastAsiaTheme="minorHAnsi"/>
        </w:rPr>
        <w:t>summarizes</w:t>
      </w:r>
      <w:r w:rsidR="00F4292B">
        <w:rPr>
          <w:rFonts w:eastAsiaTheme="minorHAnsi"/>
        </w:rPr>
        <w:t>,</w:t>
      </w:r>
      <w:r w:rsidR="009073D1">
        <w:rPr>
          <w:rFonts w:eastAsiaTheme="minorHAnsi"/>
        </w:rPr>
        <w:t xml:space="preserve"> the 2006-2008 studies reached significantly larger sample size</w:t>
      </w:r>
      <w:r w:rsidR="00172BCF">
        <w:rPr>
          <w:rFonts w:eastAsiaTheme="minorHAnsi"/>
        </w:rPr>
        <w:t>s</w:t>
      </w:r>
      <w:r w:rsidR="00F4292B">
        <w:rPr>
          <w:rFonts w:eastAsiaTheme="minorHAnsi"/>
        </w:rPr>
        <w:t xml:space="preserve"> and were measure specific. </w:t>
      </w:r>
      <w:r w:rsidR="00172BCF">
        <w:rPr>
          <w:rFonts w:eastAsiaTheme="minorHAnsi"/>
        </w:rPr>
        <w:t xml:space="preserve"> </w:t>
      </w:r>
      <w:r w:rsidR="00757B62">
        <w:rPr>
          <w:rFonts w:eastAsiaTheme="minorHAnsi"/>
        </w:rPr>
        <w:t>For steam traps</w:t>
      </w:r>
      <w:r w:rsidR="001D00C9">
        <w:rPr>
          <w:rFonts w:eastAsiaTheme="minorHAnsi"/>
        </w:rPr>
        <w:t xml:space="preserve"> and custom measures</w:t>
      </w:r>
      <w:r w:rsidR="00757B62">
        <w:rPr>
          <w:rFonts w:eastAsiaTheme="minorHAnsi"/>
        </w:rPr>
        <w:t xml:space="preserve">, </w:t>
      </w:r>
      <w:r w:rsidR="001D00C9" w:rsidRPr="00BD7911">
        <w:t>i</w:t>
      </w:r>
      <w:r w:rsidR="00757B62" w:rsidRPr="00BD7911">
        <w:t xml:space="preserve">nterviews with vendors were conducted to support the NTG analysis for those industrial applications where the vendor was an influential factor in the decision to install </w:t>
      </w:r>
      <w:r w:rsidR="001D00C9" w:rsidRPr="00BD7911">
        <w:t>the measure</w:t>
      </w:r>
      <w:r w:rsidR="00757B62" w:rsidRPr="00BD7911">
        <w:t>.</w:t>
      </w:r>
      <w:r w:rsidR="001D00C9" w:rsidRPr="00BD7911">
        <w:t xml:space="preserve">  In addition, utility account reps were interviewed in all cases to capture any possible influence they may have had on the decision to install the project.</w:t>
      </w:r>
    </w:p>
    <w:p w:rsidR="00634569" w:rsidRDefault="00F4292B" w:rsidP="009A4721">
      <w:pPr>
        <w:rPr>
          <w:rFonts w:eastAsiaTheme="minorHAnsi"/>
        </w:rPr>
      </w:pPr>
      <w:r>
        <w:rPr>
          <w:rFonts w:eastAsiaTheme="minorHAnsi"/>
        </w:rPr>
        <w:t>The</w:t>
      </w:r>
      <w:r w:rsidR="0039545D">
        <w:rPr>
          <w:rFonts w:eastAsiaTheme="minorHAnsi"/>
        </w:rPr>
        <w:t xml:space="preserve"> larger sample size</w:t>
      </w:r>
      <w:r>
        <w:rPr>
          <w:rFonts w:eastAsiaTheme="minorHAnsi"/>
        </w:rPr>
        <w:t>s, coupled with a more comprehensive battery of questions and a strong focus on measu</w:t>
      </w:r>
      <w:r w:rsidR="00E752DF">
        <w:rPr>
          <w:rFonts w:eastAsiaTheme="minorHAnsi"/>
        </w:rPr>
        <w:t>re specific conditions that affect estimates of free ridership</w:t>
      </w:r>
      <w:r>
        <w:rPr>
          <w:rFonts w:eastAsiaTheme="minorHAnsi"/>
        </w:rPr>
        <w:t xml:space="preserve"> resulted in more robust </w:t>
      </w:r>
      <w:r w:rsidR="009A4721">
        <w:rPr>
          <w:rFonts w:eastAsiaTheme="minorHAnsi"/>
        </w:rPr>
        <w:t>NTGR values</w:t>
      </w:r>
      <w:r w:rsidR="00E752DF">
        <w:rPr>
          <w:rFonts w:eastAsiaTheme="minorHAnsi"/>
        </w:rPr>
        <w:t xml:space="preserve"> in the 2006-08 program evaluations</w:t>
      </w:r>
      <w:r>
        <w:rPr>
          <w:rFonts w:eastAsiaTheme="minorHAnsi"/>
        </w:rPr>
        <w:t>.</w:t>
      </w:r>
    </w:p>
    <w:p w:rsidR="00BD7911" w:rsidRDefault="00BD7911" w:rsidP="00D064A7">
      <w:pPr>
        <w:rPr>
          <w:rFonts w:eastAsiaTheme="minorHAnsi"/>
        </w:rPr>
      </w:pPr>
      <w:r>
        <w:rPr>
          <w:rFonts w:eastAsiaTheme="minorHAnsi"/>
        </w:rPr>
        <w:br w:type="page"/>
      </w:r>
    </w:p>
    <w:p w:rsidR="001A749A" w:rsidRDefault="001A749A" w:rsidP="00FF4B69">
      <w:pPr>
        <w:pStyle w:val="Caption"/>
      </w:pPr>
      <w:bookmarkStart w:id="6" w:name="_Ref306699493"/>
      <w:r>
        <w:lastRenderedPageBreak/>
        <w:t xml:space="preserve">Table </w:t>
      </w:r>
      <w:r w:rsidR="00F25699">
        <w:fldChar w:fldCharType="begin"/>
      </w:r>
      <w:r w:rsidR="00F25699">
        <w:instrText xml:space="preserve"> STYLEREF 1 \s </w:instrText>
      </w:r>
      <w:r w:rsidR="00F25699">
        <w:fldChar w:fldCharType="separate"/>
      </w:r>
      <w:r w:rsidR="00EF45A4">
        <w:rPr>
          <w:noProof/>
        </w:rPr>
        <w:t>9</w:t>
      </w:r>
      <w:r w:rsidR="00F25699">
        <w:rPr>
          <w:noProof/>
        </w:rPr>
        <w:fldChar w:fldCharType="end"/>
      </w:r>
      <w:r w:rsidR="00DC29FF">
        <w:noBreakHyphen/>
      </w:r>
      <w:r w:rsidR="00F25699">
        <w:fldChar w:fldCharType="begin"/>
      </w:r>
      <w:r w:rsidR="00F25699">
        <w:instrText xml:space="preserve"> SEQ Table \* ARABIC \s 1 </w:instrText>
      </w:r>
      <w:r w:rsidR="00F25699">
        <w:fldChar w:fldCharType="separate"/>
      </w:r>
      <w:r w:rsidR="00EF45A4">
        <w:rPr>
          <w:noProof/>
        </w:rPr>
        <w:t>3</w:t>
      </w:r>
      <w:r w:rsidR="00F25699">
        <w:rPr>
          <w:noProof/>
        </w:rPr>
        <w:fldChar w:fldCharType="end"/>
      </w:r>
      <w:bookmarkEnd w:id="6"/>
      <w:r>
        <w:t xml:space="preserve">:  Methods and Sample Sizes for </w:t>
      </w:r>
      <w:r w:rsidR="00AF01F7">
        <w:t>Agricultural and Industrial Measures</w:t>
      </w:r>
    </w:p>
    <w:tbl>
      <w:tblPr>
        <w:tblStyle w:val="ItronBasic"/>
        <w:tblW w:w="9475" w:type="dxa"/>
        <w:tblCellMar>
          <w:left w:w="115" w:type="dxa"/>
          <w:right w:w="115" w:type="dxa"/>
        </w:tblCellMar>
        <w:tblLook w:val="04A0" w:firstRow="1" w:lastRow="0" w:firstColumn="1" w:lastColumn="0" w:noHBand="0" w:noVBand="1"/>
      </w:tblPr>
      <w:tblGrid>
        <w:gridCol w:w="1555"/>
        <w:gridCol w:w="2430"/>
        <w:gridCol w:w="1350"/>
        <w:gridCol w:w="1440"/>
        <w:gridCol w:w="1260"/>
        <w:gridCol w:w="1440"/>
      </w:tblGrid>
      <w:tr w:rsidR="00E175C3" w:rsidRPr="00077A05" w:rsidTr="00077A05">
        <w:trPr>
          <w:cnfStyle w:val="100000000000" w:firstRow="1" w:lastRow="0" w:firstColumn="0" w:lastColumn="0" w:oddVBand="0" w:evenVBand="0" w:oddHBand="0" w:evenHBand="0" w:firstRowFirstColumn="0" w:firstRowLastColumn="0" w:lastRowFirstColumn="0" w:lastRowLastColumn="0"/>
          <w:trHeight w:val="888"/>
          <w:tblHeader/>
        </w:trPr>
        <w:tc>
          <w:tcPr>
            <w:tcW w:w="1555" w:type="dxa"/>
            <w:shd w:val="pct20" w:color="auto" w:fill="auto"/>
            <w:vAlign w:val="bottom"/>
          </w:tcPr>
          <w:p w:rsidR="005D5C68" w:rsidRPr="00077A05" w:rsidRDefault="0039545D" w:rsidP="00BD7911">
            <w:pPr>
              <w:keepNext/>
              <w:keepLines/>
              <w:spacing w:after="0"/>
              <w:jc w:val="center"/>
              <w:rPr>
                <w:b w:val="0"/>
                <w:sz w:val="20"/>
                <w:szCs w:val="20"/>
              </w:rPr>
            </w:pPr>
            <w:r w:rsidRPr="00077A05">
              <w:rPr>
                <w:sz w:val="20"/>
                <w:szCs w:val="20"/>
              </w:rPr>
              <w:t>Measure</w:t>
            </w:r>
          </w:p>
        </w:tc>
        <w:tc>
          <w:tcPr>
            <w:tcW w:w="2430" w:type="dxa"/>
            <w:shd w:val="pct20" w:color="auto" w:fill="auto"/>
            <w:vAlign w:val="bottom"/>
          </w:tcPr>
          <w:p w:rsidR="005D5C68" w:rsidRPr="00077A05" w:rsidRDefault="0039545D" w:rsidP="00BD7911">
            <w:pPr>
              <w:keepNext/>
              <w:keepLines/>
              <w:spacing w:after="0"/>
              <w:jc w:val="center"/>
              <w:rPr>
                <w:b w:val="0"/>
                <w:sz w:val="20"/>
                <w:szCs w:val="20"/>
              </w:rPr>
            </w:pPr>
            <w:r w:rsidRPr="00077A05">
              <w:rPr>
                <w:sz w:val="20"/>
                <w:szCs w:val="20"/>
              </w:rPr>
              <w:t xml:space="preserve">Market Segment and </w:t>
            </w:r>
            <w:r w:rsidR="00077A05" w:rsidRPr="00077A05">
              <w:rPr>
                <w:sz w:val="20"/>
                <w:szCs w:val="20"/>
              </w:rPr>
              <w:t>Program Year</w:t>
            </w:r>
          </w:p>
        </w:tc>
        <w:tc>
          <w:tcPr>
            <w:tcW w:w="1350" w:type="dxa"/>
            <w:shd w:val="pct20" w:color="auto" w:fill="auto"/>
            <w:vAlign w:val="bottom"/>
          </w:tcPr>
          <w:p w:rsidR="005D5C68" w:rsidRPr="00077A05" w:rsidRDefault="0039545D" w:rsidP="00BD7911">
            <w:pPr>
              <w:keepNext/>
              <w:keepLines/>
              <w:spacing w:after="0"/>
              <w:jc w:val="center"/>
              <w:rPr>
                <w:b w:val="0"/>
                <w:sz w:val="20"/>
                <w:szCs w:val="20"/>
              </w:rPr>
            </w:pPr>
            <w:r w:rsidRPr="00077A05">
              <w:rPr>
                <w:sz w:val="20"/>
                <w:szCs w:val="20"/>
              </w:rPr>
              <w:t>NTGR Method Used</w:t>
            </w:r>
          </w:p>
        </w:tc>
        <w:tc>
          <w:tcPr>
            <w:tcW w:w="2700" w:type="dxa"/>
            <w:gridSpan w:val="2"/>
            <w:shd w:val="pct20" w:color="auto" w:fill="auto"/>
            <w:vAlign w:val="bottom"/>
          </w:tcPr>
          <w:p w:rsidR="005D5C68" w:rsidRPr="00077A05" w:rsidRDefault="0039545D" w:rsidP="00BD7911">
            <w:pPr>
              <w:keepNext/>
              <w:keepLines/>
              <w:spacing w:after="0"/>
              <w:jc w:val="center"/>
              <w:rPr>
                <w:sz w:val="20"/>
                <w:szCs w:val="20"/>
              </w:rPr>
            </w:pPr>
            <w:r w:rsidRPr="00077A05">
              <w:rPr>
                <w:sz w:val="20"/>
                <w:szCs w:val="20"/>
              </w:rPr>
              <w:t>Sample Size</w:t>
            </w:r>
            <w:r w:rsidR="00E54C96" w:rsidRPr="00077A05">
              <w:rPr>
                <w:sz w:val="20"/>
                <w:szCs w:val="20"/>
              </w:rPr>
              <w:t>s</w:t>
            </w:r>
          </w:p>
          <w:p w:rsidR="005D5C68" w:rsidRPr="00077A05" w:rsidRDefault="00231D0B" w:rsidP="00BD7911">
            <w:pPr>
              <w:keepNext/>
              <w:keepLines/>
              <w:spacing w:after="0"/>
              <w:jc w:val="center"/>
              <w:rPr>
                <w:b w:val="0"/>
                <w:sz w:val="20"/>
                <w:szCs w:val="20"/>
              </w:rPr>
            </w:pPr>
            <w:r w:rsidRPr="00077A05">
              <w:rPr>
                <w:sz w:val="20"/>
                <w:szCs w:val="20"/>
              </w:rPr>
              <w:t xml:space="preserve">DEER   </w:t>
            </w:r>
            <w:r w:rsidR="0039545D" w:rsidRPr="00077A05">
              <w:rPr>
                <w:sz w:val="20"/>
                <w:szCs w:val="20"/>
              </w:rPr>
              <w:t xml:space="preserve">    2006-2008</w:t>
            </w:r>
          </w:p>
        </w:tc>
        <w:tc>
          <w:tcPr>
            <w:tcW w:w="1440" w:type="dxa"/>
            <w:shd w:val="pct20" w:color="auto" w:fill="auto"/>
            <w:vAlign w:val="bottom"/>
          </w:tcPr>
          <w:p w:rsidR="005D5C68" w:rsidRPr="00077A05" w:rsidRDefault="0039545D" w:rsidP="00BD7911">
            <w:pPr>
              <w:keepNext/>
              <w:keepLines/>
              <w:spacing w:after="0"/>
              <w:jc w:val="center"/>
              <w:rPr>
                <w:b w:val="0"/>
                <w:sz w:val="20"/>
                <w:szCs w:val="20"/>
              </w:rPr>
            </w:pPr>
            <w:r w:rsidRPr="00077A05">
              <w:rPr>
                <w:sz w:val="20"/>
                <w:szCs w:val="20"/>
              </w:rPr>
              <w:t>Delivery Mechanism</w:t>
            </w:r>
          </w:p>
        </w:tc>
      </w:tr>
      <w:tr w:rsidR="00E175C3" w:rsidRPr="00077A05" w:rsidTr="00077A05">
        <w:tc>
          <w:tcPr>
            <w:tcW w:w="1555" w:type="dxa"/>
          </w:tcPr>
          <w:p w:rsidR="00B21CFB" w:rsidRPr="00077A05" w:rsidRDefault="0029172D" w:rsidP="00BD7911">
            <w:pPr>
              <w:spacing w:after="0"/>
              <w:rPr>
                <w:sz w:val="20"/>
                <w:szCs w:val="20"/>
              </w:rPr>
            </w:pPr>
            <w:r w:rsidRPr="00077A05">
              <w:rPr>
                <w:sz w:val="20"/>
                <w:szCs w:val="20"/>
              </w:rPr>
              <w:t>Agricultural– Heat curtains</w:t>
            </w:r>
          </w:p>
        </w:tc>
        <w:tc>
          <w:tcPr>
            <w:tcW w:w="2430" w:type="dxa"/>
          </w:tcPr>
          <w:p w:rsidR="00E175C3" w:rsidRPr="00077A05" w:rsidRDefault="0029172D" w:rsidP="00BD7911">
            <w:pPr>
              <w:spacing w:after="0"/>
              <w:rPr>
                <w:rFonts w:eastAsiaTheme="minorHAnsi"/>
                <w:sz w:val="20"/>
                <w:szCs w:val="20"/>
              </w:rPr>
            </w:pPr>
            <w:r w:rsidRPr="00077A05">
              <w:rPr>
                <w:rFonts w:eastAsiaTheme="minorHAnsi"/>
                <w:sz w:val="20"/>
                <w:szCs w:val="20"/>
              </w:rPr>
              <w:t>Agricultural</w:t>
            </w:r>
          </w:p>
          <w:p w:rsidR="00B21CFB" w:rsidRPr="00077A05" w:rsidRDefault="0029172D" w:rsidP="00BD7911">
            <w:pPr>
              <w:spacing w:after="0"/>
              <w:rPr>
                <w:rFonts w:eastAsiaTheme="minorHAnsi"/>
                <w:sz w:val="20"/>
                <w:szCs w:val="20"/>
              </w:rPr>
            </w:pPr>
            <w:r w:rsidRPr="00077A05">
              <w:rPr>
                <w:rFonts w:eastAsiaTheme="minorHAnsi"/>
                <w:sz w:val="20"/>
                <w:szCs w:val="20"/>
              </w:rPr>
              <w:t>greenhouse – 2006-08</w:t>
            </w:r>
          </w:p>
        </w:tc>
        <w:tc>
          <w:tcPr>
            <w:tcW w:w="1350" w:type="dxa"/>
          </w:tcPr>
          <w:p w:rsidR="0029172D" w:rsidRPr="00077A05" w:rsidRDefault="0029172D" w:rsidP="00BD7911">
            <w:pPr>
              <w:keepNext/>
              <w:keepLines/>
              <w:spacing w:after="0"/>
              <w:rPr>
                <w:sz w:val="20"/>
                <w:szCs w:val="20"/>
              </w:rPr>
            </w:pPr>
            <w:r w:rsidRPr="00077A05">
              <w:rPr>
                <w:sz w:val="20"/>
                <w:szCs w:val="20"/>
              </w:rPr>
              <w:t>Self Report</w:t>
            </w:r>
          </w:p>
        </w:tc>
        <w:tc>
          <w:tcPr>
            <w:tcW w:w="1440" w:type="dxa"/>
            <w:vMerge w:val="restart"/>
            <w:shd w:val="clear" w:color="auto" w:fill="auto"/>
          </w:tcPr>
          <w:p w:rsidR="0029172D" w:rsidRPr="00077A05" w:rsidRDefault="0029172D" w:rsidP="00BD7911">
            <w:pPr>
              <w:keepNext/>
              <w:keepLines/>
              <w:spacing w:after="0"/>
              <w:jc w:val="center"/>
              <w:rPr>
                <w:sz w:val="20"/>
                <w:szCs w:val="20"/>
              </w:rPr>
            </w:pPr>
          </w:p>
          <w:p w:rsidR="0029172D" w:rsidRPr="00077A05" w:rsidRDefault="0029172D" w:rsidP="00BD7911">
            <w:pPr>
              <w:keepNext/>
              <w:keepLines/>
              <w:spacing w:after="0"/>
              <w:jc w:val="both"/>
              <w:rPr>
                <w:sz w:val="20"/>
                <w:szCs w:val="20"/>
              </w:rPr>
            </w:pPr>
          </w:p>
          <w:p w:rsidR="0029172D" w:rsidRPr="00077A05" w:rsidRDefault="0029172D" w:rsidP="00BD7911">
            <w:pPr>
              <w:keepNext/>
              <w:keepLines/>
              <w:spacing w:after="0"/>
              <w:jc w:val="both"/>
              <w:rPr>
                <w:sz w:val="20"/>
                <w:szCs w:val="20"/>
              </w:rPr>
            </w:pPr>
          </w:p>
          <w:p w:rsidR="0029172D" w:rsidRPr="00077A05" w:rsidRDefault="0029172D" w:rsidP="00BD7911">
            <w:pPr>
              <w:keepNext/>
              <w:keepLines/>
              <w:spacing w:after="0"/>
              <w:jc w:val="center"/>
              <w:rPr>
                <w:sz w:val="20"/>
                <w:szCs w:val="20"/>
              </w:rPr>
            </w:pPr>
            <w:r w:rsidRPr="00077A05">
              <w:rPr>
                <w:sz w:val="20"/>
                <w:szCs w:val="20"/>
              </w:rPr>
              <w:t>50</w:t>
            </w:r>
            <w:r w:rsidRPr="00077A05">
              <w:rPr>
                <w:rStyle w:val="FootnoteReference"/>
                <w:sz w:val="20"/>
                <w:szCs w:val="20"/>
              </w:rPr>
              <w:footnoteReference w:id="2"/>
            </w:r>
          </w:p>
        </w:tc>
        <w:tc>
          <w:tcPr>
            <w:tcW w:w="1260" w:type="dxa"/>
          </w:tcPr>
          <w:p w:rsidR="0029172D" w:rsidRPr="00077A05" w:rsidRDefault="0029172D" w:rsidP="00BD7911">
            <w:pPr>
              <w:keepNext/>
              <w:keepLines/>
              <w:spacing w:after="0"/>
              <w:jc w:val="center"/>
              <w:rPr>
                <w:sz w:val="20"/>
                <w:szCs w:val="20"/>
              </w:rPr>
            </w:pPr>
            <w:r w:rsidRPr="00077A05">
              <w:rPr>
                <w:sz w:val="20"/>
                <w:szCs w:val="20"/>
              </w:rPr>
              <w:t xml:space="preserve">51 </w:t>
            </w:r>
          </w:p>
        </w:tc>
        <w:tc>
          <w:tcPr>
            <w:tcW w:w="1440" w:type="dxa"/>
          </w:tcPr>
          <w:p w:rsidR="0029172D" w:rsidRPr="00077A05" w:rsidRDefault="0029172D" w:rsidP="00BD7911">
            <w:pPr>
              <w:keepNext/>
              <w:keepLines/>
              <w:spacing w:after="0"/>
              <w:rPr>
                <w:sz w:val="20"/>
                <w:szCs w:val="20"/>
              </w:rPr>
            </w:pPr>
            <w:r w:rsidRPr="00077A05">
              <w:rPr>
                <w:sz w:val="20"/>
                <w:szCs w:val="20"/>
              </w:rPr>
              <w:t>Downstream Prescriptive</w:t>
            </w:r>
          </w:p>
        </w:tc>
      </w:tr>
      <w:tr w:rsidR="00E175C3" w:rsidRPr="00077A05" w:rsidTr="00077A05">
        <w:tc>
          <w:tcPr>
            <w:tcW w:w="1555" w:type="dxa"/>
          </w:tcPr>
          <w:p w:rsidR="00B21CFB" w:rsidRPr="00077A05" w:rsidRDefault="0029172D" w:rsidP="00BD7911">
            <w:pPr>
              <w:spacing w:after="0"/>
              <w:rPr>
                <w:sz w:val="20"/>
                <w:szCs w:val="20"/>
              </w:rPr>
            </w:pPr>
            <w:r w:rsidRPr="00077A05">
              <w:rPr>
                <w:sz w:val="20"/>
                <w:szCs w:val="20"/>
              </w:rPr>
              <w:t>Agricultural– Infrared Film</w:t>
            </w:r>
          </w:p>
        </w:tc>
        <w:tc>
          <w:tcPr>
            <w:tcW w:w="2430" w:type="dxa"/>
          </w:tcPr>
          <w:p w:rsidR="00E175C3" w:rsidRPr="00077A05" w:rsidRDefault="0029172D" w:rsidP="00BD7911">
            <w:pPr>
              <w:spacing w:after="0"/>
              <w:rPr>
                <w:rFonts w:eastAsiaTheme="minorHAnsi"/>
                <w:sz w:val="20"/>
                <w:szCs w:val="20"/>
              </w:rPr>
            </w:pPr>
            <w:r w:rsidRPr="00077A05">
              <w:rPr>
                <w:rFonts w:eastAsiaTheme="minorHAnsi"/>
                <w:sz w:val="20"/>
                <w:szCs w:val="20"/>
              </w:rPr>
              <w:t>Agricultural</w:t>
            </w:r>
          </w:p>
          <w:p w:rsidR="00B21CFB" w:rsidRPr="00077A05" w:rsidRDefault="0029172D" w:rsidP="00BD7911">
            <w:pPr>
              <w:spacing w:after="0"/>
              <w:rPr>
                <w:rFonts w:eastAsiaTheme="minorHAnsi"/>
                <w:sz w:val="20"/>
                <w:szCs w:val="20"/>
              </w:rPr>
            </w:pPr>
            <w:r w:rsidRPr="00077A05">
              <w:rPr>
                <w:rFonts w:eastAsiaTheme="minorHAnsi"/>
                <w:sz w:val="20"/>
                <w:szCs w:val="20"/>
              </w:rPr>
              <w:t>greenhouse – 2006-08</w:t>
            </w:r>
          </w:p>
        </w:tc>
        <w:tc>
          <w:tcPr>
            <w:tcW w:w="1350" w:type="dxa"/>
          </w:tcPr>
          <w:p w:rsidR="0029172D" w:rsidRPr="00077A05" w:rsidRDefault="0029172D" w:rsidP="00BD7911">
            <w:pPr>
              <w:keepNext/>
              <w:keepLines/>
              <w:spacing w:after="0"/>
              <w:rPr>
                <w:sz w:val="20"/>
                <w:szCs w:val="20"/>
              </w:rPr>
            </w:pPr>
            <w:r w:rsidRPr="00077A05">
              <w:rPr>
                <w:sz w:val="20"/>
                <w:szCs w:val="20"/>
              </w:rPr>
              <w:t>Self Report</w:t>
            </w:r>
          </w:p>
        </w:tc>
        <w:tc>
          <w:tcPr>
            <w:tcW w:w="1440" w:type="dxa"/>
            <w:vMerge/>
            <w:shd w:val="clear" w:color="auto" w:fill="auto"/>
          </w:tcPr>
          <w:p w:rsidR="0029172D" w:rsidRPr="00077A05" w:rsidRDefault="0029172D" w:rsidP="00BD7911">
            <w:pPr>
              <w:keepNext/>
              <w:keepLines/>
              <w:spacing w:after="0"/>
              <w:jc w:val="center"/>
              <w:rPr>
                <w:sz w:val="20"/>
                <w:szCs w:val="20"/>
              </w:rPr>
            </w:pPr>
          </w:p>
        </w:tc>
        <w:tc>
          <w:tcPr>
            <w:tcW w:w="1260" w:type="dxa"/>
          </w:tcPr>
          <w:p w:rsidR="0029172D" w:rsidRPr="00077A05" w:rsidRDefault="0029172D" w:rsidP="00BD7911">
            <w:pPr>
              <w:keepNext/>
              <w:keepLines/>
              <w:spacing w:after="0"/>
              <w:jc w:val="center"/>
              <w:rPr>
                <w:sz w:val="20"/>
                <w:szCs w:val="20"/>
              </w:rPr>
            </w:pPr>
            <w:r w:rsidRPr="00077A05">
              <w:rPr>
                <w:sz w:val="20"/>
                <w:szCs w:val="20"/>
              </w:rPr>
              <w:t xml:space="preserve">35 </w:t>
            </w:r>
          </w:p>
        </w:tc>
        <w:tc>
          <w:tcPr>
            <w:tcW w:w="1440" w:type="dxa"/>
          </w:tcPr>
          <w:p w:rsidR="0029172D" w:rsidRPr="00077A05" w:rsidRDefault="0029172D" w:rsidP="00BD7911">
            <w:pPr>
              <w:keepNext/>
              <w:keepLines/>
              <w:spacing w:after="0"/>
              <w:rPr>
                <w:sz w:val="20"/>
                <w:szCs w:val="20"/>
              </w:rPr>
            </w:pPr>
            <w:r w:rsidRPr="00077A05">
              <w:rPr>
                <w:sz w:val="20"/>
                <w:szCs w:val="20"/>
              </w:rPr>
              <w:t>Downstream Prescriptive</w:t>
            </w:r>
          </w:p>
        </w:tc>
      </w:tr>
      <w:tr w:rsidR="00E175C3" w:rsidRPr="00077A05" w:rsidTr="00077A05">
        <w:tc>
          <w:tcPr>
            <w:tcW w:w="1555" w:type="dxa"/>
          </w:tcPr>
          <w:p w:rsidR="00DE3FD7" w:rsidRPr="00077A05" w:rsidRDefault="00DE3FD7" w:rsidP="00BD7911">
            <w:pPr>
              <w:spacing w:after="0"/>
              <w:rPr>
                <w:sz w:val="20"/>
                <w:szCs w:val="20"/>
              </w:rPr>
            </w:pPr>
            <w:r w:rsidRPr="00077A05">
              <w:rPr>
                <w:sz w:val="20"/>
                <w:szCs w:val="20"/>
              </w:rPr>
              <w:t>Industrial Steam Traps</w:t>
            </w:r>
          </w:p>
        </w:tc>
        <w:tc>
          <w:tcPr>
            <w:tcW w:w="2430" w:type="dxa"/>
          </w:tcPr>
          <w:p w:rsidR="00DE3FD7" w:rsidRPr="00077A05" w:rsidRDefault="00DE3FD7" w:rsidP="00BD7911">
            <w:pPr>
              <w:spacing w:after="0"/>
              <w:rPr>
                <w:rFonts w:eastAsiaTheme="minorHAnsi"/>
                <w:sz w:val="20"/>
                <w:szCs w:val="20"/>
              </w:rPr>
            </w:pPr>
            <w:r w:rsidRPr="00077A05">
              <w:rPr>
                <w:rFonts w:eastAsiaTheme="minorHAnsi"/>
                <w:sz w:val="20"/>
                <w:szCs w:val="20"/>
              </w:rPr>
              <w:t>Industrial – 2006-08</w:t>
            </w:r>
          </w:p>
        </w:tc>
        <w:tc>
          <w:tcPr>
            <w:tcW w:w="1350" w:type="dxa"/>
          </w:tcPr>
          <w:p w:rsidR="00DE3FD7" w:rsidRPr="00077A05" w:rsidRDefault="00DE3FD7" w:rsidP="00BD7911">
            <w:pPr>
              <w:keepNext/>
              <w:keepLines/>
              <w:spacing w:after="0"/>
              <w:rPr>
                <w:sz w:val="20"/>
                <w:szCs w:val="20"/>
              </w:rPr>
            </w:pPr>
            <w:r w:rsidRPr="00077A05">
              <w:rPr>
                <w:sz w:val="20"/>
                <w:szCs w:val="20"/>
              </w:rPr>
              <w:t>Self Report</w:t>
            </w:r>
          </w:p>
        </w:tc>
        <w:tc>
          <w:tcPr>
            <w:tcW w:w="1440" w:type="dxa"/>
            <w:vMerge w:val="restart"/>
            <w:shd w:val="clear" w:color="auto" w:fill="auto"/>
          </w:tcPr>
          <w:p w:rsidR="00DE3FD7" w:rsidRPr="00077A05" w:rsidRDefault="00DE3FD7" w:rsidP="00BD7911">
            <w:pPr>
              <w:keepNext/>
              <w:keepLines/>
              <w:spacing w:after="0"/>
              <w:jc w:val="center"/>
              <w:rPr>
                <w:sz w:val="20"/>
                <w:szCs w:val="20"/>
              </w:rPr>
            </w:pPr>
          </w:p>
          <w:p w:rsidR="00DE3FD7" w:rsidRPr="00077A05" w:rsidRDefault="00DE3FD7" w:rsidP="00BD7911">
            <w:pPr>
              <w:keepNext/>
              <w:keepLines/>
              <w:spacing w:after="0"/>
              <w:jc w:val="both"/>
              <w:rPr>
                <w:sz w:val="20"/>
                <w:szCs w:val="20"/>
              </w:rPr>
            </w:pPr>
          </w:p>
          <w:p w:rsidR="00DE3FD7" w:rsidRPr="00077A05" w:rsidRDefault="00DE3FD7" w:rsidP="00BD7911">
            <w:pPr>
              <w:keepNext/>
              <w:keepLines/>
              <w:spacing w:after="0"/>
              <w:jc w:val="both"/>
              <w:rPr>
                <w:sz w:val="20"/>
                <w:szCs w:val="20"/>
              </w:rPr>
            </w:pPr>
          </w:p>
          <w:p w:rsidR="00DE3FD7" w:rsidRPr="00077A05" w:rsidRDefault="00DE3FD7" w:rsidP="00BD7911">
            <w:pPr>
              <w:keepNext/>
              <w:keepLines/>
              <w:spacing w:after="0"/>
              <w:jc w:val="center"/>
              <w:rPr>
                <w:sz w:val="20"/>
                <w:szCs w:val="20"/>
              </w:rPr>
            </w:pPr>
            <w:r w:rsidRPr="00077A05">
              <w:rPr>
                <w:sz w:val="20"/>
                <w:szCs w:val="20"/>
              </w:rPr>
              <w:t xml:space="preserve">113 </w:t>
            </w:r>
          </w:p>
          <w:p w:rsidR="00DE3FD7" w:rsidRPr="00077A05" w:rsidRDefault="00DE3FD7" w:rsidP="00BD7911">
            <w:pPr>
              <w:keepNext/>
              <w:keepLines/>
              <w:spacing w:after="0"/>
              <w:jc w:val="both"/>
              <w:rPr>
                <w:sz w:val="20"/>
                <w:szCs w:val="20"/>
              </w:rPr>
            </w:pPr>
            <w:r w:rsidRPr="00077A05">
              <w:rPr>
                <w:sz w:val="20"/>
                <w:szCs w:val="20"/>
              </w:rPr>
              <w:t>PG&amp;E–34</w:t>
            </w:r>
          </w:p>
          <w:p w:rsidR="00DE3FD7" w:rsidRPr="00077A05" w:rsidRDefault="00DE3FD7" w:rsidP="00BD7911">
            <w:pPr>
              <w:keepNext/>
              <w:keepLines/>
              <w:spacing w:after="0"/>
              <w:jc w:val="both"/>
              <w:rPr>
                <w:sz w:val="20"/>
                <w:szCs w:val="20"/>
              </w:rPr>
            </w:pPr>
            <w:r w:rsidRPr="00077A05">
              <w:rPr>
                <w:sz w:val="20"/>
                <w:szCs w:val="20"/>
              </w:rPr>
              <w:t>SCE</w:t>
            </w:r>
            <w:r w:rsidR="00E175C3" w:rsidRPr="00077A05">
              <w:rPr>
                <w:sz w:val="20"/>
                <w:szCs w:val="20"/>
              </w:rPr>
              <w:t xml:space="preserve"> E–</w:t>
            </w:r>
            <w:r w:rsidRPr="00077A05">
              <w:rPr>
                <w:sz w:val="20"/>
                <w:szCs w:val="20"/>
              </w:rPr>
              <w:t>67</w:t>
            </w:r>
          </w:p>
          <w:p w:rsidR="00DE3FD7" w:rsidRPr="00077A05" w:rsidRDefault="00DE3FD7" w:rsidP="00BD7911">
            <w:pPr>
              <w:keepNext/>
              <w:keepLines/>
              <w:spacing w:after="0"/>
              <w:jc w:val="both"/>
              <w:rPr>
                <w:sz w:val="20"/>
                <w:szCs w:val="20"/>
              </w:rPr>
            </w:pPr>
            <w:r w:rsidRPr="00077A05">
              <w:rPr>
                <w:sz w:val="20"/>
                <w:szCs w:val="20"/>
              </w:rPr>
              <w:t>SDG&amp;E</w:t>
            </w:r>
            <w:r w:rsidR="00BD7911" w:rsidRPr="00077A05">
              <w:rPr>
                <w:sz w:val="20"/>
                <w:szCs w:val="20"/>
              </w:rPr>
              <w:t xml:space="preserve"> </w:t>
            </w:r>
            <w:r w:rsidR="00E175C3" w:rsidRPr="00077A05">
              <w:rPr>
                <w:sz w:val="20"/>
                <w:szCs w:val="20"/>
              </w:rPr>
              <w:t>E–</w:t>
            </w:r>
            <w:r w:rsidRPr="00077A05">
              <w:rPr>
                <w:sz w:val="20"/>
                <w:szCs w:val="20"/>
              </w:rPr>
              <w:t>12</w:t>
            </w:r>
          </w:p>
        </w:tc>
        <w:tc>
          <w:tcPr>
            <w:tcW w:w="1260" w:type="dxa"/>
          </w:tcPr>
          <w:p w:rsidR="00B21CFB" w:rsidRPr="00077A05" w:rsidRDefault="001D00C9" w:rsidP="00BD7911">
            <w:pPr>
              <w:keepNext/>
              <w:keepLines/>
              <w:spacing w:after="0"/>
              <w:jc w:val="center"/>
              <w:rPr>
                <w:sz w:val="20"/>
                <w:szCs w:val="20"/>
              </w:rPr>
            </w:pPr>
            <w:r w:rsidRPr="00077A05">
              <w:rPr>
                <w:sz w:val="20"/>
                <w:szCs w:val="20"/>
              </w:rPr>
              <w:t>126</w:t>
            </w:r>
            <w:r w:rsidR="00DE3FD7" w:rsidRPr="00077A05">
              <w:rPr>
                <w:sz w:val="20"/>
                <w:szCs w:val="20"/>
              </w:rPr>
              <w:t xml:space="preserve"> </w:t>
            </w:r>
          </w:p>
        </w:tc>
        <w:tc>
          <w:tcPr>
            <w:tcW w:w="1440" w:type="dxa"/>
            <w:vAlign w:val="center"/>
          </w:tcPr>
          <w:p w:rsidR="00DE3FD7" w:rsidRPr="00077A05" w:rsidRDefault="00DE3FD7" w:rsidP="00BD7911">
            <w:pPr>
              <w:keepNext/>
              <w:keepLines/>
              <w:spacing w:after="0"/>
              <w:rPr>
                <w:sz w:val="20"/>
                <w:szCs w:val="20"/>
              </w:rPr>
            </w:pPr>
            <w:r w:rsidRPr="00077A05">
              <w:rPr>
                <w:sz w:val="20"/>
                <w:szCs w:val="20"/>
              </w:rPr>
              <w:t>Customized</w:t>
            </w:r>
          </w:p>
        </w:tc>
      </w:tr>
      <w:tr w:rsidR="00E175C3" w:rsidRPr="00077A05" w:rsidTr="00077A05">
        <w:tc>
          <w:tcPr>
            <w:tcW w:w="1555" w:type="dxa"/>
          </w:tcPr>
          <w:p w:rsidR="00DE3FD7" w:rsidRPr="00077A05" w:rsidRDefault="00DE3FD7" w:rsidP="00BD7911">
            <w:pPr>
              <w:spacing w:after="0"/>
              <w:rPr>
                <w:sz w:val="20"/>
                <w:szCs w:val="20"/>
              </w:rPr>
            </w:pPr>
            <w:r w:rsidRPr="00077A05">
              <w:rPr>
                <w:sz w:val="20"/>
                <w:szCs w:val="20"/>
              </w:rPr>
              <w:t xml:space="preserve">Industrial Pump Off Controllers </w:t>
            </w:r>
          </w:p>
        </w:tc>
        <w:tc>
          <w:tcPr>
            <w:tcW w:w="2430" w:type="dxa"/>
          </w:tcPr>
          <w:p w:rsidR="00DE3FD7" w:rsidRPr="00077A05" w:rsidRDefault="00DE3FD7" w:rsidP="00BD7911">
            <w:pPr>
              <w:spacing w:after="0"/>
              <w:rPr>
                <w:rFonts w:eastAsiaTheme="minorHAnsi"/>
                <w:sz w:val="20"/>
                <w:szCs w:val="20"/>
              </w:rPr>
            </w:pPr>
            <w:r w:rsidRPr="00077A05">
              <w:rPr>
                <w:rFonts w:eastAsiaTheme="minorHAnsi"/>
                <w:sz w:val="20"/>
                <w:szCs w:val="20"/>
              </w:rPr>
              <w:t>Industrial - 2006-08</w:t>
            </w:r>
          </w:p>
        </w:tc>
        <w:tc>
          <w:tcPr>
            <w:tcW w:w="1350" w:type="dxa"/>
          </w:tcPr>
          <w:p w:rsidR="00DE3FD7" w:rsidRPr="00077A05" w:rsidRDefault="00DE3FD7" w:rsidP="00BD7911">
            <w:pPr>
              <w:keepNext/>
              <w:keepLines/>
              <w:spacing w:after="0"/>
              <w:rPr>
                <w:sz w:val="20"/>
                <w:szCs w:val="20"/>
              </w:rPr>
            </w:pPr>
            <w:r w:rsidRPr="00077A05">
              <w:rPr>
                <w:sz w:val="20"/>
                <w:szCs w:val="20"/>
              </w:rPr>
              <w:t>Self Report</w:t>
            </w:r>
          </w:p>
        </w:tc>
        <w:tc>
          <w:tcPr>
            <w:tcW w:w="1440" w:type="dxa"/>
            <w:vMerge/>
            <w:shd w:val="clear" w:color="auto" w:fill="auto"/>
          </w:tcPr>
          <w:p w:rsidR="00DE3FD7" w:rsidRPr="00077A05" w:rsidRDefault="00DE3FD7" w:rsidP="00BD7911">
            <w:pPr>
              <w:keepNext/>
              <w:keepLines/>
              <w:spacing w:after="0"/>
              <w:jc w:val="center"/>
              <w:rPr>
                <w:sz w:val="20"/>
                <w:szCs w:val="20"/>
              </w:rPr>
            </w:pPr>
          </w:p>
        </w:tc>
        <w:tc>
          <w:tcPr>
            <w:tcW w:w="1260" w:type="dxa"/>
          </w:tcPr>
          <w:p w:rsidR="00DE3FD7" w:rsidRPr="00077A05" w:rsidRDefault="001209E4" w:rsidP="00BD7911">
            <w:pPr>
              <w:keepNext/>
              <w:keepLines/>
              <w:spacing w:after="0"/>
              <w:jc w:val="center"/>
              <w:rPr>
                <w:sz w:val="20"/>
                <w:szCs w:val="20"/>
              </w:rPr>
            </w:pPr>
            <w:r w:rsidRPr="00077A05">
              <w:rPr>
                <w:sz w:val="20"/>
                <w:szCs w:val="20"/>
              </w:rPr>
              <w:t>250</w:t>
            </w:r>
          </w:p>
        </w:tc>
        <w:tc>
          <w:tcPr>
            <w:tcW w:w="1440" w:type="dxa"/>
            <w:vAlign w:val="center"/>
          </w:tcPr>
          <w:p w:rsidR="00DE3FD7" w:rsidRPr="00077A05" w:rsidRDefault="00DE3FD7" w:rsidP="00BD7911">
            <w:pPr>
              <w:keepNext/>
              <w:keepLines/>
              <w:spacing w:after="0"/>
              <w:rPr>
                <w:sz w:val="20"/>
                <w:szCs w:val="20"/>
              </w:rPr>
            </w:pPr>
            <w:r w:rsidRPr="00077A05">
              <w:rPr>
                <w:sz w:val="20"/>
                <w:szCs w:val="20"/>
              </w:rPr>
              <w:t>Customized</w:t>
            </w:r>
          </w:p>
        </w:tc>
      </w:tr>
      <w:tr w:rsidR="00E175C3" w:rsidRPr="00077A05" w:rsidTr="00077A05">
        <w:tc>
          <w:tcPr>
            <w:tcW w:w="1555" w:type="dxa"/>
          </w:tcPr>
          <w:p w:rsidR="00DE3FD7" w:rsidRPr="00077A05" w:rsidRDefault="00DE3FD7" w:rsidP="00BD7911">
            <w:pPr>
              <w:spacing w:after="0"/>
              <w:rPr>
                <w:sz w:val="20"/>
                <w:szCs w:val="20"/>
              </w:rPr>
            </w:pPr>
            <w:r w:rsidRPr="00077A05">
              <w:rPr>
                <w:sz w:val="20"/>
                <w:szCs w:val="20"/>
              </w:rPr>
              <w:t>Custom Electric Measures</w:t>
            </w:r>
          </w:p>
        </w:tc>
        <w:tc>
          <w:tcPr>
            <w:tcW w:w="2430" w:type="dxa"/>
          </w:tcPr>
          <w:p w:rsidR="00DE3FD7" w:rsidRPr="00077A05" w:rsidRDefault="00DE3FD7" w:rsidP="00BD7911">
            <w:pPr>
              <w:spacing w:after="0"/>
              <w:rPr>
                <w:rFonts w:eastAsiaTheme="minorHAnsi"/>
                <w:sz w:val="20"/>
                <w:szCs w:val="20"/>
              </w:rPr>
            </w:pPr>
            <w:r w:rsidRPr="00077A05">
              <w:rPr>
                <w:rFonts w:eastAsiaTheme="minorHAnsi"/>
                <w:sz w:val="20"/>
                <w:szCs w:val="20"/>
              </w:rPr>
              <w:t>Industrial – 2006-08</w:t>
            </w:r>
          </w:p>
        </w:tc>
        <w:tc>
          <w:tcPr>
            <w:tcW w:w="1350" w:type="dxa"/>
          </w:tcPr>
          <w:p w:rsidR="00DE3FD7" w:rsidRPr="00077A05" w:rsidRDefault="00DE3FD7" w:rsidP="00BD7911">
            <w:pPr>
              <w:keepNext/>
              <w:keepLines/>
              <w:spacing w:after="0"/>
              <w:rPr>
                <w:sz w:val="20"/>
                <w:szCs w:val="20"/>
              </w:rPr>
            </w:pPr>
            <w:r w:rsidRPr="00077A05">
              <w:rPr>
                <w:sz w:val="20"/>
                <w:szCs w:val="20"/>
              </w:rPr>
              <w:t>Self-Report</w:t>
            </w:r>
          </w:p>
        </w:tc>
        <w:tc>
          <w:tcPr>
            <w:tcW w:w="1440" w:type="dxa"/>
            <w:vMerge/>
            <w:shd w:val="clear" w:color="auto" w:fill="auto"/>
          </w:tcPr>
          <w:p w:rsidR="00DE3FD7" w:rsidRPr="00077A05" w:rsidRDefault="00DE3FD7" w:rsidP="00BD7911">
            <w:pPr>
              <w:keepNext/>
              <w:keepLines/>
              <w:spacing w:after="0"/>
              <w:jc w:val="center"/>
              <w:rPr>
                <w:sz w:val="20"/>
                <w:szCs w:val="20"/>
              </w:rPr>
            </w:pPr>
          </w:p>
        </w:tc>
        <w:tc>
          <w:tcPr>
            <w:tcW w:w="1260" w:type="dxa"/>
          </w:tcPr>
          <w:p w:rsidR="00DE3FD7" w:rsidRPr="00077A05" w:rsidRDefault="001D00C9" w:rsidP="00BD7911">
            <w:pPr>
              <w:keepNext/>
              <w:keepLines/>
              <w:spacing w:after="0"/>
              <w:jc w:val="center"/>
              <w:rPr>
                <w:sz w:val="20"/>
                <w:szCs w:val="20"/>
              </w:rPr>
            </w:pPr>
            <w:r w:rsidRPr="00077A05">
              <w:rPr>
                <w:sz w:val="20"/>
                <w:szCs w:val="20"/>
              </w:rPr>
              <w:t>408</w:t>
            </w:r>
          </w:p>
        </w:tc>
        <w:tc>
          <w:tcPr>
            <w:tcW w:w="1440" w:type="dxa"/>
            <w:vAlign w:val="center"/>
          </w:tcPr>
          <w:p w:rsidR="00DE3FD7" w:rsidRPr="00077A05" w:rsidRDefault="00DE3FD7" w:rsidP="00BD7911">
            <w:pPr>
              <w:keepNext/>
              <w:keepLines/>
              <w:spacing w:after="0"/>
              <w:rPr>
                <w:sz w:val="20"/>
                <w:szCs w:val="20"/>
              </w:rPr>
            </w:pPr>
          </w:p>
        </w:tc>
      </w:tr>
      <w:tr w:rsidR="00E175C3" w:rsidRPr="00077A05" w:rsidTr="00077A05">
        <w:tc>
          <w:tcPr>
            <w:tcW w:w="1555" w:type="dxa"/>
          </w:tcPr>
          <w:p w:rsidR="00DE3FD7" w:rsidRPr="00077A05" w:rsidRDefault="00DE3FD7" w:rsidP="00BD7911">
            <w:pPr>
              <w:spacing w:after="0"/>
              <w:rPr>
                <w:sz w:val="20"/>
                <w:szCs w:val="20"/>
              </w:rPr>
            </w:pPr>
            <w:r w:rsidRPr="00077A05">
              <w:rPr>
                <w:sz w:val="20"/>
                <w:szCs w:val="20"/>
              </w:rPr>
              <w:t>Industrial Pipe Insulation</w:t>
            </w:r>
          </w:p>
        </w:tc>
        <w:tc>
          <w:tcPr>
            <w:tcW w:w="2430" w:type="dxa"/>
          </w:tcPr>
          <w:p w:rsidR="00DE3FD7" w:rsidRPr="00077A05" w:rsidRDefault="00DE3FD7" w:rsidP="00BD7911">
            <w:pPr>
              <w:spacing w:after="0"/>
              <w:rPr>
                <w:rFonts w:eastAsiaTheme="minorHAnsi"/>
                <w:sz w:val="20"/>
                <w:szCs w:val="20"/>
              </w:rPr>
            </w:pPr>
            <w:r w:rsidRPr="00077A05">
              <w:rPr>
                <w:rFonts w:eastAsiaTheme="minorHAnsi"/>
                <w:sz w:val="20"/>
                <w:szCs w:val="20"/>
              </w:rPr>
              <w:t>Industrial –2006-08</w:t>
            </w:r>
          </w:p>
        </w:tc>
        <w:tc>
          <w:tcPr>
            <w:tcW w:w="1350" w:type="dxa"/>
          </w:tcPr>
          <w:p w:rsidR="00DE3FD7" w:rsidRPr="00077A05" w:rsidRDefault="00DE3FD7" w:rsidP="00BD7911">
            <w:pPr>
              <w:keepNext/>
              <w:keepLines/>
              <w:spacing w:after="0"/>
              <w:rPr>
                <w:sz w:val="20"/>
                <w:szCs w:val="20"/>
              </w:rPr>
            </w:pPr>
            <w:r w:rsidRPr="00077A05">
              <w:rPr>
                <w:sz w:val="20"/>
                <w:szCs w:val="20"/>
              </w:rPr>
              <w:t>Self Report</w:t>
            </w:r>
          </w:p>
        </w:tc>
        <w:tc>
          <w:tcPr>
            <w:tcW w:w="1440" w:type="dxa"/>
            <w:vMerge/>
            <w:shd w:val="clear" w:color="auto" w:fill="auto"/>
          </w:tcPr>
          <w:p w:rsidR="00DE3FD7" w:rsidRPr="00077A05" w:rsidRDefault="00DE3FD7" w:rsidP="00BD7911">
            <w:pPr>
              <w:keepNext/>
              <w:keepLines/>
              <w:spacing w:after="0"/>
              <w:jc w:val="center"/>
              <w:rPr>
                <w:sz w:val="20"/>
                <w:szCs w:val="20"/>
              </w:rPr>
            </w:pPr>
          </w:p>
        </w:tc>
        <w:tc>
          <w:tcPr>
            <w:tcW w:w="1260" w:type="dxa"/>
          </w:tcPr>
          <w:p w:rsidR="00DE3FD7" w:rsidRPr="00077A05" w:rsidRDefault="00DE3FD7" w:rsidP="00BD7911">
            <w:pPr>
              <w:keepNext/>
              <w:keepLines/>
              <w:spacing w:after="0"/>
              <w:jc w:val="center"/>
              <w:rPr>
                <w:sz w:val="20"/>
                <w:szCs w:val="20"/>
              </w:rPr>
            </w:pPr>
            <w:r w:rsidRPr="00077A05">
              <w:rPr>
                <w:sz w:val="20"/>
                <w:szCs w:val="20"/>
              </w:rPr>
              <w:t>PG&amp;E–35</w:t>
            </w:r>
          </w:p>
          <w:p w:rsidR="00DE3FD7" w:rsidRPr="00077A05" w:rsidRDefault="00DE3FD7" w:rsidP="00BD7911">
            <w:pPr>
              <w:keepNext/>
              <w:keepLines/>
              <w:spacing w:after="0"/>
              <w:jc w:val="center"/>
              <w:rPr>
                <w:sz w:val="20"/>
                <w:szCs w:val="20"/>
              </w:rPr>
            </w:pPr>
            <w:r w:rsidRPr="00077A05">
              <w:rPr>
                <w:sz w:val="20"/>
                <w:szCs w:val="20"/>
              </w:rPr>
              <w:t>SCG</w:t>
            </w:r>
            <w:r w:rsidR="00E175C3" w:rsidRPr="00077A05">
              <w:rPr>
                <w:sz w:val="20"/>
                <w:szCs w:val="20"/>
              </w:rPr>
              <w:t xml:space="preserve"> E–</w:t>
            </w:r>
            <w:r w:rsidRPr="00077A05">
              <w:rPr>
                <w:sz w:val="20"/>
                <w:szCs w:val="20"/>
              </w:rPr>
              <w:t>240</w:t>
            </w:r>
          </w:p>
        </w:tc>
        <w:tc>
          <w:tcPr>
            <w:tcW w:w="1440" w:type="dxa"/>
            <w:vAlign w:val="center"/>
          </w:tcPr>
          <w:p w:rsidR="00DE3FD7" w:rsidRPr="00077A05" w:rsidRDefault="00DE3FD7" w:rsidP="00BD7911">
            <w:pPr>
              <w:keepNext/>
              <w:keepLines/>
              <w:spacing w:after="0"/>
              <w:rPr>
                <w:sz w:val="20"/>
                <w:szCs w:val="20"/>
              </w:rPr>
            </w:pPr>
            <w:r w:rsidRPr="00077A05">
              <w:rPr>
                <w:sz w:val="20"/>
                <w:szCs w:val="20"/>
              </w:rPr>
              <w:t>Customized</w:t>
            </w:r>
          </w:p>
        </w:tc>
      </w:tr>
    </w:tbl>
    <w:p w:rsidR="00231D0B" w:rsidRDefault="00077A05" w:rsidP="001A749A">
      <w:pPr>
        <w:rPr>
          <w:rFonts w:eastAsiaTheme="minorHAnsi"/>
        </w:rPr>
      </w:pPr>
      <w:r>
        <w:rPr>
          <w:rFonts w:eastAsiaTheme="minorHAnsi"/>
        </w:rPr>
        <w:br/>
      </w:r>
      <w:r w:rsidR="00231D0B">
        <w:rPr>
          <w:rFonts w:eastAsiaTheme="minorHAnsi"/>
        </w:rPr>
        <w:t>Overall the DEER team finds that the recent</w:t>
      </w:r>
      <w:r w:rsidR="001D00C9">
        <w:rPr>
          <w:rFonts w:eastAsiaTheme="minorHAnsi"/>
        </w:rPr>
        <w:t xml:space="preserve">ly completed PY2006-2008 </w:t>
      </w:r>
      <w:r w:rsidR="00231D0B">
        <w:rPr>
          <w:rFonts w:eastAsiaTheme="minorHAnsi"/>
        </w:rPr>
        <w:t xml:space="preserve">evaluations contain </w:t>
      </w:r>
      <w:r w:rsidR="001D00C9">
        <w:rPr>
          <w:rFonts w:eastAsiaTheme="minorHAnsi"/>
        </w:rPr>
        <w:t>more robust and comprehensive NTGR estimates</w:t>
      </w:r>
      <w:r w:rsidR="00231D0B">
        <w:rPr>
          <w:rFonts w:eastAsiaTheme="minorHAnsi"/>
        </w:rPr>
        <w:t xml:space="preserve"> than the </w:t>
      </w:r>
      <w:r w:rsidR="00E752DF">
        <w:rPr>
          <w:rFonts w:eastAsiaTheme="minorHAnsi"/>
        </w:rPr>
        <w:t xml:space="preserve">values in the </w:t>
      </w:r>
      <w:r w:rsidR="00231D0B">
        <w:rPr>
          <w:rFonts w:eastAsiaTheme="minorHAnsi"/>
        </w:rPr>
        <w:t>existing DEER</w:t>
      </w:r>
      <w:r w:rsidR="001D00C9">
        <w:rPr>
          <w:rFonts w:eastAsiaTheme="minorHAnsi"/>
        </w:rPr>
        <w:t xml:space="preserve"> database</w:t>
      </w:r>
      <w:r w:rsidR="00231D0B">
        <w:rPr>
          <w:rFonts w:eastAsiaTheme="minorHAnsi"/>
        </w:rPr>
        <w:t xml:space="preserve">, based on our review of methodologies and sample sizes.  </w:t>
      </w:r>
    </w:p>
    <w:p w:rsidR="007F2229" w:rsidRDefault="00DE0FDA" w:rsidP="00077A05">
      <w:pPr>
        <w:pStyle w:val="Heading2"/>
      </w:pPr>
      <w:r>
        <w:t>Industrial</w:t>
      </w:r>
      <w:r w:rsidR="00137D72">
        <w:t>/Agricultural</w:t>
      </w:r>
      <w:r>
        <w:t xml:space="preserve"> NTG</w:t>
      </w:r>
      <w:r w:rsidR="00137D72">
        <w:t>R</w:t>
      </w:r>
      <w:r>
        <w:t xml:space="preserve"> Sensitivity Analysis</w:t>
      </w:r>
    </w:p>
    <w:p w:rsidR="007F2229" w:rsidRDefault="00DE0FDA">
      <w:r>
        <w:t xml:space="preserve">For the PY2010-12 evaluation, a dual baseline approach is being implemented, which incorporates the effect of project timing into the gross savings calculation.  Previously, this effect has been captured in the deferred free ridership component of the NTG ratio.  </w:t>
      </w:r>
    </w:p>
    <w:p w:rsidR="007F2229" w:rsidRDefault="00B625FD">
      <w:r>
        <w:t>The DEER team</w:t>
      </w:r>
      <w:r w:rsidR="00DE0FDA">
        <w:t xml:space="preserve"> ran a sensitivity analysis in which the timing effect was removed from the NTG ratio calculation</w:t>
      </w:r>
      <w:r w:rsidR="00137D72">
        <w:t xml:space="preserve"> for the Industrial </w:t>
      </w:r>
      <w:r w:rsidR="00624764">
        <w:t xml:space="preserve">and Agricultural </w:t>
      </w:r>
      <w:r w:rsidR="00137D72">
        <w:t>sector studies</w:t>
      </w:r>
      <w:r w:rsidR="00DE0FDA">
        <w:t xml:space="preserve">.  </w:t>
      </w:r>
      <w:r w:rsidR="00137D72">
        <w:t xml:space="preserve">The resulting NTGRs are </w:t>
      </w:r>
      <w:r w:rsidR="00624764">
        <w:t>very</w:t>
      </w:r>
      <w:r w:rsidR="00137D72">
        <w:t xml:space="preserve"> slightly lower, as</w:t>
      </w:r>
      <w:r w:rsidR="00DE0FDA">
        <w:t xml:space="preserve"> shown below.</w:t>
      </w:r>
    </w:p>
    <w:p w:rsidR="00BD7911" w:rsidRDefault="00BD7911" w:rsidP="00D064A7">
      <w:r>
        <w:br w:type="page"/>
      </w:r>
    </w:p>
    <w:p w:rsidR="007F2229" w:rsidRDefault="00137D72" w:rsidP="00FF4B69">
      <w:pPr>
        <w:pStyle w:val="Caption"/>
      </w:pPr>
      <w:r>
        <w:lastRenderedPageBreak/>
        <w:t xml:space="preserve">Table </w:t>
      </w:r>
      <w:r w:rsidR="00F25699">
        <w:fldChar w:fldCharType="begin"/>
      </w:r>
      <w:r w:rsidR="00F25699">
        <w:instrText xml:space="preserve"> STYLEREF 1 </w:instrText>
      </w:r>
      <w:r w:rsidR="00F25699">
        <w:instrText xml:space="preserve">\s </w:instrText>
      </w:r>
      <w:r w:rsidR="00F25699">
        <w:fldChar w:fldCharType="separate"/>
      </w:r>
      <w:r w:rsidR="00EF45A4">
        <w:rPr>
          <w:noProof/>
        </w:rPr>
        <w:t>9</w:t>
      </w:r>
      <w:r w:rsidR="00F25699">
        <w:rPr>
          <w:noProof/>
        </w:rPr>
        <w:fldChar w:fldCharType="end"/>
      </w:r>
      <w:r w:rsidR="00DC29FF">
        <w:noBreakHyphen/>
      </w:r>
      <w:r w:rsidR="00F25699">
        <w:fldChar w:fldCharType="begin"/>
      </w:r>
      <w:r w:rsidR="00F25699">
        <w:instrText xml:space="preserve"> SEQ Table \* ARABIC \s 1 </w:instrText>
      </w:r>
      <w:r w:rsidR="00F25699">
        <w:fldChar w:fldCharType="separate"/>
      </w:r>
      <w:r w:rsidR="00EF45A4">
        <w:rPr>
          <w:noProof/>
        </w:rPr>
        <w:t>4</w:t>
      </w:r>
      <w:r w:rsidR="00F25699">
        <w:rPr>
          <w:noProof/>
        </w:rPr>
        <w:fldChar w:fldCharType="end"/>
      </w:r>
      <w:r w:rsidR="00DC29FF">
        <w:t>:</w:t>
      </w:r>
      <w:r>
        <w:t xml:space="preserve"> Industrial/Agricultural NTGR Sensitivity Analysis Results</w:t>
      </w:r>
    </w:p>
    <w:tbl>
      <w:tblPr>
        <w:tblStyle w:val="TableGrid"/>
        <w:tblW w:w="9475"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115" w:type="dxa"/>
          <w:right w:w="115" w:type="dxa"/>
        </w:tblCellMar>
        <w:tblLook w:val="04A0" w:firstRow="1" w:lastRow="0" w:firstColumn="1" w:lastColumn="0" w:noHBand="0" w:noVBand="1"/>
      </w:tblPr>
      <w:tblGrid>
        <w:gridCol w:w="2905"/>
        <w:gridCol w:w="1800"/>
        <w:gridCol w:w="2430"/>
        <w:gridCol w:w="2340"/>
      </w:tblGrid>
      <w:tr w:rsidR="00DE0FDA" w:rsidTr="00077A05">
        <w:trPr>
          <w:trHeight w:val="629"/>
          <w:tblHeader/>
        </w:trPr>
        <w:tc>
          <w:tcPr>
            <w:tcW w:w="2905" w:type="dxa"/>
            <w:tcBorders>
              <w:top w:val="single" w:sz="12" w:space="0" w:color="auto"/>
              <w:bottom w:val="single" w:sz="12" w:space="0" w:color="auto"/>
            </w:tcBorders>
            <w:shd w:val="pct20" w:color="auto" w:fill="FFFFFF" w:themeFill="background1"/>
            <w:vAlign w:val="bottom"/>
          </w:tcPr>
          <w:p w:rsidR="007F2229" w:rsidRDefault="00DE0FDA" w:rsidP="00FF4B69">
            <w:pPr>
              <w:spacing w:after="0" w:line="240" w:lineRule="auto"/>
              <w:jc w:val="center"/>
              <w:rPr>
                <w:b/>
              </w:rPr>
            </w:pPr>
            <w:r>
              <w:rPr>
                <w:b/>
              </w:rPr>
              <w:t>Evaluation Study</w:t>
            </w:r>
          </w:p>
        </w:tc>
        <w:tc>
          <w:tcPr>
            <w:tcW w:w="1800" w:type="dxa"/>
            <w:tcBorders>
              <w:top w:val="single" w:sz="12" w:space="0" w:color="auto"/>
              <w:bottom w:val="single" w:sz="12" w:space="0" w:color="auto"/>
            </w:tcBorders>
            <w:shd w:val="pct20" w:color="auto" w:fill="FFFFFF" w:themeFill="background1"/>
            <w:vAlign w:val="bottom"/>
          </w:tcPr>
          <w:p w:rsidR="007F2229" w:rsidRDefault="00EF252A" w:rsidP="00FF4B69">
            <w:pPr>
              <w:spacing w:after="0" w:line="240" w:lineRule="auto"/>
              <w:jc w:val="center"/>
              <w:rPr>
                <w:b/>
              </w:rPr>
            </w:pPr>
            <w:r w:rsidRPr="00EF252A">
              <w:rPr>
                <w:b/>
              </w:rPr>
              <w:t>Sampling Domain</w:t>
            </w:r>
          </w:p>
        </w:tc>
        <w:tc>
          <w:tcPr>
            <w:tcW w:w="2430" w:type="dxa"/>
            <w:tcBorders>
              <w:top w:val="single" w:sz="12" w:space="0" w:color="auto"/>
              <w:bottom w:val="single" w:sz="12" w:space="0" w:color="auto"/>
            </w:tcBorders>
            <w:shd w:val="pct20" w:color="auto" w:fill="FFFFFF" w:themeFill="background1"/>
            <w:vAlign w:val="bottom"/>
          </w:tcPr>
          <w:p w:rsidR="007F2229" w:rsidRDefault="00EF252A" w:rsidP="00FF4B69">
            <w:pPr>
              <w:spacing w:after="0" w:line="240" w:lineRule="auto"/>
              <w:jc w:val="center"/>
              <w:rPr>
                <w:b/>
              </w:rPr>
            </w:pPr>
            <w:r w:rsidRPr="00EF252A">
              <w:rPr>
                <w:b/>
              </w:rPr>
              <w:t>2008-2008 NTGR</w:t>
            </w:r>
          </w:p>
        </w:tc>
        <w:tc>
          <w:tcPr>
            <w:tcW w:w="2340" w:type="dxa"/>
            <w:tcBorders>
              <w:top w:val="single" w:sz="12" w:space="0" w:color="auto"/>
              <w:bottom w:val="single" w:sz="12" w:space="0" w:color="auto"/>
            </w:tcBorders>
            <w:shd w:val="pct20" w:color="auto" w:fill="FFFFFF" w:themeFill="background1"/>
            <w:vAlign w:val="bottom"/>
          </w:tcPr>
          <w:p w:rsidR="007F2229" w:rsidRDefault="00EF252A" w:rsidP="00FF4B69">
            <w:pPr>
              <w:spacing w:after="0" w:line="240" w:lineRule="auto"/>
              <w:jc w:val="center"/>
              <w:rPr>
                <w:b/>
              </w:rPr>
            </w:pPr>
            <w:r w:rsidRPr="00EF252A">
              <w:rPr>
                <w:b/>
              </w:rPr>
              <w:t xml:space="preserve">Sensitivity </w:t>
            </w:r>
            <w:r w:rsidR="00BD7911" w:rsidRPr="00EF252A">
              <w:rPr>
                <w:b/>
              </w:rPr>
              <w:t xml:space="preserve">Analysis </w:t>
            </w:r>
            <w:r w:rsidRPr="00EF252A">
              <w:rPr>
                <w:b/>
              </w:rPr>
              <w:t xml:space="preserve">with </w:t>
            </w:r>
            <w:r w:rsidR="00BD7911" w:rsidRPr="00EF252A">
              <w:rPr>
                <w:b/>
              </w:rPr>
              <w:t>Timing Effect Eliminated</w:t>
            </w:r>
          </w:p>
        </w:tc>
      </w:tr>
      <w:tr w:rsidR="00DE0FDA" w:rsidTr="00077A05">
        <w:tc>
          <w:tcPr>
            <w:tcW w:w="2905" w:type="dxa"/>
            <w:tcBorders>
              <w:top w:val="single" w:sz="12" w:space="0" w:color="auto"/>
            </w:tcBorders>
          </w:tcPr>
          <w:p w:rsidR="00DE0FDA" w:rsidRDefault="00137D72" w:rsidP="00FF4B69">
            <w:pPr>
              <w:jc w:val="left"/>
            </w:pPr>
            <w:r w:rsidRPr="00137D72">
              <w:t>PG&amp;E Fabrication, Process and Manufacturing</w:t>
            </w:r>
            <w:r w:rsidR="00FF4B69">
              <w:t xml:space="preserve"> </w:t>
            </w:r>
            <w:r w:rsidRPr="00137D72">
              <w:t xml:space="preserve"> Contract Group</w:t>
            </w:r>
          </w:p>
        </w:tc>
        <w:tc>
          <w:tcPr>
            <w:tcW w:w="1800" w:type="dxa"/>
            <w:tcBorders>
              <w:top w:val="single" w:sz="12" w:space="0" w:color="auto"/>
            </w:tcBorders>
          </w:tcPr>
          <w:p w:rsidR="00DE0FDA" w:rsidRDefault="00137D72" w:rsidP="00B65F49">
            <w:pPr>
              <w:jc w:val="left"/>
            </w:pPr>
            <w:r>
              <w:t>Pump-Off Controllers (POCs)</w:t>
            </w:r>
          </w:p>
        </w:tc>
        <w:tc>
          <w:tcPr>
            <w:tcW w:w="2430" w:type="dxa"/>
            <w:tcBorders>
              <w:top w:val="single" w:sz="12" w:space="0" w:color="auto"/>
            </w:tcBorders>
          </w:tcPr>
          <w:p w:rsidR="007F2229" w:rsidRDefault="00137D72" w:rsidP="00B65F49">
            <w:pPr>
              <w:jc w:val="left"/>
            </w:pPr>
            <w:r>
              <w:t>kWh =0.45, kW=0.44</w:t>
            </w:r>
          </w:p>
        </w:tc>
        <w:tc>
          <w:tcPr>
            <w:tcW w:w="2340" w:type="dxa"/>
            <w:tcBorders>
              <w:top w:val="single" w:sz="12" w:space="0" w:color="auto"/>
            </w:tcBorders>
          </w:tcPr>
          <w:p w:rsidR="00DE0FDA" w:rsidRDefault="00137D72" w:rsidP="00B65F49">
            <w:pPr>
              <w:jc w:val="left"/>
            </w:pPr>
            <w:r>
              <w:t>kWh =0.45, kW=0.44</w:t>
            </w:r>
          </w:p>
        </w:tc>
      </w:tr>
      <w:tr w:rsidR="00137D72" w:rsidTr="00077A05">
        <w:tc>
          <w:tcPr>
            <w:tcW w:w="2905" w:type="dxa"/>
          </w:tcPr>
          <w:p w:rsidR="00137D72" w:rsidRDefault="00137D72" w:rsidP="00B65F49">
            <w:pPr>
              <w:jc w:val="left"/>
            </w:pPr>
            <w:r w:rsidRPr="00137D72">
              <w:t>PG&amp;E Fabrication, Process and Manufacturing Contract Group</w:t>
            </w:r>
          </w:p>
        </w:tc>
        <w:tc>
          <w:tcPr>
            <w:tcW w:w="1800" w:type="dxa"/>
          </w:tcPr>
          <w:p w:rsidR="00137D72" w:rsidRDefault="00137D72" w:rsidP="00B65F49">
            <w:pPr>
              <w:jc w:val="left"/>
            </w:pPr>
            <w:r>
              <w:t>Non-POCs</w:t>
            </w:r>
          </w:p>
        </w:tc>
        <w:tc>
          <w:tcPr>
            <w:tcW w:w="2430" w:type="dxa"/>
          </w:tcPr>
          <w:p w:rsidR="007F2229" w:rsidRDefault="00137D72" w:rsidP="00B65F49">
            <w:pPr>
              <w:jc w:val="left"/>
            </w:pPr>
            <w:r>
              <w:t>kWh =0.60, kW=0.59</w:t>
            </w:r>
          </w:p>
        </w:tc>
        <w:tc>
          <w:tcPr>
            <w:tcW w:w="2340" w:type="dxa"/>
          </w:tcPr>
          <w:p w:rsidR="007F2229" w:rsidRDefault="00137D72" w:rsidP="00B65F49">
            <w:pPr>
              <w:jc w:val="left"/>
            </w:pPr>
            <w:r>
              <w:t>kWh =0.58, kW=0.57</w:t>
            </w:r>
          </w:p>
        </w:tc>
      </w:tr>
      <w:tr w:rsidR="00137D72" w:rsidTr="00077A05">
        <w:tc>
          <w:tcPr>
            <w:tcW w:w="2905" w:type="dxa"/>
          </w:tcPr>
          <w:p w:rsidR="00137D72" w:rsidRDefault="00137D72" w:rsidP="00B65F49">
            <w:pPr>
              <w:jc w:val="left"/>
            </w:pPr>
            <w:r w:rsidRPr="00137D72">
              <w:t>PG&amp;E Fabrication, Process and Manufacturing Contract Group</w:t>
            </w:r>
          </w:p>
        </w:tc>
        <w:tc>
          <w:tcPr>
            <w:tcW w:w="1800" w:type="dxa"/>
          </w:tcPr>
          <w:p w:rsidR="00137D72" w:rsidRDefault="00137D72" w:rsidP="00B65F49">
            <w:pPr>
              <w:jc w:val="left"/>
            </w:pPr>
            <w:r>
              <w:t>Overall electric</w:t>
            </w:r>
          </w:p>
        </w:tc>
        <w:tc>
          <w:tcPr>
            <w:tcW w:w="2430" w:type="dxa"/>
          </w:tcPr>
          <w:p w:rsidR="007F2229" w:rsidRDefault="00137D72" w:rsidP="00B65F49">
            <w:pPr>
              <w:jc w:val="left"/>
            </w:pPr>
            <w:r>
              <w:t>kWh=0.53</w:t>
            </w:r>
            <w:r w:rsidR="00B65F49">
              <w:t xml:space="preserve">, </w:t>
            </w:r>
            <w:r>
              <w:t>kW=0.52</w:t>
            </w:r>
          </w:p>
        </w:tc>
        <w:tc>
          <w:tcPr>
            <w:tcW w:w="2340" w:type="dxa"/>
          </w:tcPr>
          <w:p w:rsidR="00137D72" w:rsidRDefault="00137D72" w:rsidP="00B65F49">
            <w:pPr>
              <w:jc w:val="left"/>
            </w:pPr>
            <w:r>
              <w:t>kWh=0.51</w:t>
            </w:r>
            <w:r w:rsidR="00B65F49">
              <w:t xml:space="preserve">, </w:t>
            </w:r>
            <w:r>
              <w:t>kW=0.51</w:t>
            </w:r>
          </w:p>
        </w:tc>
      </w:tr>
      <w:tr w:rsidR="00137D72" w:rsidTr="00077A05">
        <w:tc>
          <w:tcPr>
            <w:tcW w:w="2905" w:type="dxa"/>
          </w:tcPr>
          <w:p w:rsidR="00137D72" w:rsidRDefault="00137D72" w:rsidP="00B65F49">
            <w:pPr>
              <w:jc w:val="left"/>
            </w:pPr>
            <w:r w:rsidRPr="00137D72">
              <w:t>PG&amp;E Fabrication, Process and Manufacturing Contract Group</w:t>
            </w:r>
          </w:p>
        </w:tc>
        <w:tc>
          <w:tcPr>
            <w:tcW w:w="1800" w:type="dxa"/>
          </w:tcPr>
          <w:p w:rsidR="00137D72" w:rsidRDefault="00137D72" w:rsidP="00B65F49">
            <w:pPr>
              <w:jc w:val="left"/>
            </w:pPr>
            <w:r>
              <w:t>Gas</w:t>
            </w:r>
          </w:p>
        </w:tc>
        <w:tc>
          <w:tcPr>
            <w:tcW w:w="2430" w:type="dxa"/>
          </w:tcPr>
          <w:p w:rsidR="00137D72" w:rsidRDefault="00137D72" w:rsidP="00B65F49">
            <w:pPr>
              <w:jc w:val="left"/>
            </w:pPr>
            <w:r>
              <w:t>0.31</w:t>
            </w:r>
          </w:p>
        </w:tc>
        <w:tc>
          <w:tcPr>
            <w:tcW w:w="2340" w:type="dxa"/>
          </w:tcPr>
          <w:p w:rsidR="00137D72" w:rsidRDefault="00137D72" w:rsidP="00B65F49">
            <w:pPr>
              <w:jc w:val="left"/>
            </w:pPr>
            <w:r>
              <w:t>0.30</w:t>
            </w:r>
          </w:p>
        </w:tc>
      </w:tr>
      <w:tr w:rsidR="00137D72" w:rsidTr="00077A05">
        <w:tc>
          <w:tcPr>
            <w:tcW w:w="2905" w:type="dxa"/>
          </w:tcPr>
          <w:p w:rsidR="00137D72" w:rsidRDefault="00137D72" w:rsidP="00B65F49">
            <w:pPr>
              <w:jc w:val="left"/>
            </w:pPr>
            <w:r w:rsidRPr="00137D72">
              <w:t>Southern California Industrial and Agricultural Contract Group</w:t>
            </w:r>
          </w:p>
        </w:tc>
        <w:tc>
          <w:tcPr>
            <w:tcW w:w="1800" w:type="dxa"/>
          </w:tcPr>
          <w:p w:rsidR="00137D72" w:rsidRDefault="00137D72" w:rsidP="00B65F49">
            <w:pPr>
              <w:jc w:val="left"/>
            </w:pPr>
            <w:r>
              <w:t>Agricultural measures</w:t>
            </w:r>
          </w:p>
        </w:tc>
        <w:tc>
          <w:tcPr>
            <w:tcW w:w="2430" w:type="dxa"/>
          </w:tcPr>
          <w:p w:rsidR="007F2229" w:rsidRDefault="00137D72" w:rsidP="00B65F49">
            <w:pPr>
              <w:jc w:val="left"/>
            </w:pPr>
            <w:r>
              <w:t>kWh=0.59</w:t>
            </w:r>
            <w:r w:rsidR="00B65F49">
              <w:t xml:space="preserve">, </w:t>
            </w:r>
            <w:r>
              <w:t>kW=0.63</w:t>
            </w:r>
          </w:p>
        </w:tc>
        <w:tc>
          <w:tcPr>
            <w:tcW w:w="2340" w:type="dxa"/>
          </w:tcPr>
          <w:p w:rsidR="007F2229" w:rsidRDefault="00137D72" w:rsidP="00B65F49">
            <w:pPr>
              <w:jc w:val="left"/>
            </w:pPr>
            <w:r>
              <w:t>kWh=0.56</w:t>
            </w:r>
            <w:r w:rsidR="00B65F49">
              <w:t xml:space="preserve">, </w:t>
            </w:r>
            <w:r>
              <w:t>kW=0.59</w:t>
            </w:r>
          </w:p>
        </w:tc>
      </w:tr>
      <w:tr w:rsidR="00137D72" w:rsidTr="00077A05">
        <w:tc>
          <w:tcPr>
            <w:tcW w:w="2905" w:type="dxa"/>
          </w:tcPr>
          <w:p w:rsidR="00137D72" w:rsidRDefault="00137D72" w:rsidP="00B65F49">
            <w:pPr>
              <w:jc w:val="left"/>
            </w:pPr>
            <w:r w:rsidRPr="00137D72">
              <w:t>Southern California Industrial and Agricultural Contract Group</w:t>
            </w:r>
          </w:p>
        </w:tc>
        <w:tc>
          <w:tcPr>
            <w:tcW w:w="1800" w:type="dxa"/>
          </w:tcPr>
          <w:p w:rsidR="00137D72" w:rsidRDefault="00137D72" w:rsidP="00B65F49">
            <w:pPr>
              <w:jc w:val="left"/>
            </w:pPr>
            <w:r>
              <w:t>Industrial measures</w:t>
            </w:r>
          </w:p>
        </w:tc>
        <w:tc>
          <w:tcPr>
            <w:tcW w:w="2430" w:type="dxa"/>
          </w:tcPr>
          <w:p w:rsidR="00137D72" w:rsidRDefault="00137D72" w:rsidP="00B65F49">
            <w:pPr>
              <w:jc w:val="left"/>
            </w:pPr>
            <w:r>
              <w:t>kWh=0.63</w:t>
            </w:r>
            <w:r w:rsidR="00B65F49">
              <w:t xml:space="preserve">, </w:t>
            </w:r>
            <w:r>
              <w:t>kW=0.65</w:t>
            </w:r>
          </w:p>
        </w:tc>
        <w:tc>
          <w:tcPr>
            <w:tcW w:w="2340" w:type="dxa"/>
          </w:tcPr>
          <w:p w:rsidR="007F2229" w:rsidRDefault="00137D72" w:rsidP="00B65F49">
            <w:pPr>
              <w:jc w:val="left"/>
            </w:pPr>
            <w:r>
              <w:t>kWh=0.60</w:t>
            </w:r>
            <w:r w:rsidR="00B65F49">
              <w:t xml:space="preserve">, </w:t>
            </w:r>
            <w:r>
              <w:t>kW=0.61</w:t>
            </w:r>
          </w:p>
        </w:tc>
      </w:tr>
    </w:tbl>
    <w:p w:rsidR="007F2229" w:rsidRDefault="007F2229"/>
    <w:p w:rsidR="005D5C68" w:rsidRDefault="0089570F" w:rsidP="00077A05">
      <w:pPr>
        <w:pStyle w:val="Heading2"/>
      </w:pPr>
      <w:r>
        <w:t xml:space="preserve">Recommended </w:t>
      </w:r>
      <w:r w:rsidR="00E54C96">
        <w:t xml:space="preserve">2011 DEER Updates to </w:t>
      </w:r>
      <w:r>
        <w:t xml:space="preserve">NTGR </w:t>
      </w:r>
      <w:r w:rsidR="00E54C96">
        <w:t>Values</w:t>
      </w:r>
    </w:p>
    <w:p w:rsidR="001A749A" w:rsidRDefault="00396490" w:rsidP="00DC29FF">
      <w:pPr>
        <w:rPr>
          <w:rFonts w:eastAsiaTheme="minorHAnsi"/>
        </w:rPr>
      </w:pPr>
      <w:r>
        <w:rPr>
          <w:rFonts w:eastAsiaTheme="minorHAnsi"/>
        </w:rPr>
        <w:fldChar w:fldCharType="begin"/>
      </w:r>
      <w:r w:rsidR="001A749A">
        <w:rPr>
          <w:rFonts w:eastAsiaTheme="minorHAnsi"/>
        </w:rPr>
        <w:instrText xml:space="preserve"> REF _Ref305704678 \h </w:instrText>
      </w:r>
      <w:r>
        <w:rPr>
          <w:rFonts w:eastAsiaTheme="minorHAnsi"/>
        </w:rPr>
      </w:r>
      <w:r>
        <w:rPr>
          <w:rFonts w:eastAsiaTheme="minorHAnsi"/>
        </w:rPr>
        <w:fldChar w:fldCharType="separate"/>
      </w:r>
      <w:r w:rsidR="00EF45A4">
        <w:t xml:space="preserve">Table </w:t>
      </w:r>
      <w:r w:rsidR="00EF45A4">
        <w:rPr>
          <w:noProof/>
        </w:rPr>
        <w:t>9</w:t>
      </w:r>
      <w:r w:rsidR="00EF45A4">
        <w:noBreakHyphen/>
      </w:r>
      <w:r w:rsidR="00EF45A4">
        <w:rPr>
          <w:noProof/>
        </w:rPr>
        <w:t>5</w:t>
      </w:r>
      <w:r>
        <w:rPr>
          <w:rFonts w:eastAsiaTheme="minorHAnsi"/>
        </w:rPr>
        <w:fldChar w:fldCharType="end"/>
      </w:r>
      <w:r w:rsidR="009D5A70">
        <w:rPr>
          <w:rFonts w:eastAsiaTheme="minorHAnsi"/>
        </w:rPr>
        <w:t xml:space="preserve"> </w:t>
      </w:r>
      <w:r w:rsidR="001A749A">
        <w:rPr>
          <w:rFonts w:eastAsiaTheme="minorHAnsi"/>
        </w:rPr>
        <w:t>shows the recommended NTGRs to be used to update the DEER database in 20</w:t>
      </w:r>
      <w:r w:rsidR="009D5A70">
        <w:rPr>
          <w:rFonts w:eastAsiaTheme="minorHAnsi"/>
        </w:rPr>
        <w:t>11 for use in ex ante values in</w:t>
      </w:r>
      <w:r w:rsidR="001A749A">
        <w:rPr>
          <w:rFonts w:eastAsiaTheme="minorHAnsi"/>
        </w:rPr>
        <w:t xml:space="preserve"> 2013 programs and beyond</w:t>
      </w:r>
      <w:r w:rsidR="00E156D2">
        <w:rPr>
          <w:rFonts w:eastAsiaTheme="minorHAnsi"/>
        </w:rPr>
        <w:t xml:space="preserve">. </w:t>
      </w:r>
      <w:r w:rsidR="00E156D2" w:rsidRPr="00512352">
        <w:rPr>
          <w:rFonts w:eastAsiaTheme="minorHAnsi"/>
        </w:rPr>
        <w:t>Because of the large sample size</w:t>
      </w:r>
      <w:r w:rsidR="00E156D2">
        <w:rPr>
          <w:rFonts w:eastAsiaTheme="minorHAnsi"/>
        </w:rPr>
        <w:t>s</w:t>
      </w:r>
      <w:r w:rsidR="00E156D2" w:rsidRPr="00512352">
        <w:rPr>
          <w:rFonts w:eastAsiaTheme="minorHAnsi"/>
        </w:rPr>
        <w:t xml:space="preserve"> and multi</w:t>
      </w:r>
      <w:r w:rsidR="00E156D2">
        <w:rPr>
          <w:rFonts w:eastAsiaTheme="minorHAnsi"/>
        </w:rPr>
        <w:t xml:space="preserve">–tiered </w:t>
      </w:r>
      <w:r w:rsidR="009E150B">
        <w:rPr>
          <w:rFonts w:eastAsiaTheme="minorHAnsi"/>
        </w:rPr>
        <w:t xml:space="preserve">approach used to estimate </w:t>
      </w:r>
      <w:r w:rsidR="00170424">
        <w:rPr>
          <w:rFonts w:eastAsiaTheme="minorHAnsi"/>
        </w:rPr>
        <w:t>free ridership</w:t>
      </w:r>
      <w:r w:rsidR="001D00C9">
        <w:rPr>
          <w:rFonts w:eastAsiaTheme="minorHAnsi"/>
        </w:rPr>
        <w:t>,</w:t>
      </w:r>
      <w:r w:rsidR="00E156D2" w:rsidRPr="00512352">
        <w:rPr>
          <w:rFonts w:eastAsiaTheme="minorHAnsi"/>
        </w:rPr>
        <w:t xml:space="preserve"> </w:t>
      </w:r>
      <w:r w:rsidR="001D00C9">
        <w:rPr>
          <w:rFonts w:eastAsiaTheme="minorHAnsi"/>
        </w:rPr>
        <w:t>t</w:t>
      </w:r>
      <w:r w:rsidR="00E156D2" w:rsidRPr="00512352">
        <w:rPr>
          <w:rFonts w:eastAsiaTheme="minorHAnsi"/>
        </w:rPr>
        <w:t xml:space="preserve">he DEER team recommends use of the </w:t>
      </w:r>
      <w:r w:rsidR="00170424">
        <w:rPr>
          <w:rFonts w:eastAsiaTheme="minorHAnsi"/>
        </w:rPr>
        <w:t>20</w:t>
      </w:r>
      <w:r w:rsidR="00E156D2" w:rsidRPr="00512352">
        <w:rPr>
          <w:rFonts w:eastAsiaTheme="minorHAnsi"/>
        </w:rPr>
        <w:t>06</w:t>
      </w:r>
      <w:r w:rsidR="00170424">
        <w:rPr>
          <w:rFonts w:eastAsiaTheme="minorHAnsi"/>
        </w:rPr>
        <w:t>-20</w:t>
      </w:r>
      <w:r w:rsidR="00E156D2" w:rsidRPr="00512352">
        <w:rPr>
          <w:rFonts w:eastAsiaTheme="minorHAnsi"/>
        </w:rPr>
        <w:t>08 study results</w:t>
      </w:r>
      <w:r w:rsidR="00E156D2">
        <w:rPr>
          <w:rFonts w:eastAsiaTheme="minorHAnsi"/>
        </w:rPr>
        <w:t xml:space="preserve"> shown in </w:t>
      </w:r>
      <w:r>
        <w:rPr>
          <w:rFonts w:eastAsiaTheme="minorHAnsi"/>
        </w:rPr>
        <w:fldChar w:fldCharType="begin"/>
      </w:r>
      <w:r w:rsidR="00BD7911">
        <w:rPr>
          <w:rFonts w:eastAsiaTheme="minorHAnsi"/>
        </w:rPr>
        <w:instrText xml:space="preserve"> REF _Ref306699493 \h </w:instrText>
      </w:r>
      <w:r>
        <w:rPr>
          <w:rFonts w:eastAsiaTheme="minorHAnsi"/>
        </w:rPr>
      </w:r>
      <w:r>
        <w:rPr>
          <w:rFonts w:eastAsiaTheme="minorHAnsi"/>
        </w:rPr>
        <w:fldChar w:fldCharType="separate"/>
      </w:r>
      <w:r w:rsidR="00EF45A4">
        <w:t xml:space="preserve">Table </w:t>
      </w:r>
      <w:r w:rsidR="00EF45A4">
        <w:rPr>
          <w:noProof/>
        </w:rPr>
        <w:t>9</w:t>
      </w:r>
      <w:r w:rsidR="00EF45A4">
        <w:noBreakHyphen/>
      </w:r>
      <w:r w:rsidR="00EF45A4">
        <w:rPr>
          <w:noProof/>
        </w:rPr>
        <w:t>3</w:t>
      </w:r>
      <w:r>
        <w:rPr>
          <w:rFonts w:eastAsiaTheme="minorHAnsi"/>
        </w:rPr>
        <w:fldChar w:fldCharType="end"/>
      </w:r>
      <w:r w:rsidR="00BD7911">
        <w:rPr>
          <w:rFonts w:eastAsiaTheme="minorHAnsi"/>
        </w:rPr>
        <w:t xml:space="preserve"> </w:t>
      </w:r>
      <w:r w:rsidR="00E156D2">
        <w:rPr>
          <w:rFonts w:eastAsiaTheme="minorHAnsi"/>
        </w:rPr>
        <w:t xml:space="preserve">for the reviewed measures.  </w:t>
      </w:r>
    </w:p>
    <w:p w:rsidR="001A749A" w:rsidRDefault="001A749A" w:rsidP="00FF4B69">
      <w:pPr>
        <w:pStyle w:val="Caption"/>
      </w:pPr>
      <w:bookmarkStart w:id="7" w:name="_Ref305704678"/>
      <w:bookmarkStart w:id="8" w:name="_Ref305592463"/>
      <w:r>
        <w:lastRenderedPageBreak/>
        <w:t xml:space="preserve">Table </w:t>
      </w:r>
      <w:r w:rsidR="00F25699">
        <w:fldChar w:fldCharType="begin"/>
      </w:r>
      <w:r w:rsidR="00F25699">
        <w:instrText xml:space="preserve"> STYLERE</w:instrText>
      </w:r>
      <w:r w:rsidR="00F25699">
        <w:instrText xml:space="preserve">F 1 \s </w:instrText>
      </w:r>
      <w:r w:rsidR="00F25699">
        <w:fldChar w:fldCharType="separate"/>
      </w:r>
      <w:r w:rsidR="00EF45A4">
        <w:rPr>
          <w:noProof/>
        </w:rPr>
        <w:t>9</w:t>
      </w:r>
      <w:r w:rsidR="00F25699">
        <w:rPr>
          <w:noProof/>
        </w:rPr>
        <w:fldChar w:fldCharType="end"/>
      </w:r>
      <w:r w:rsidR="00DC29FF">
        <w:noBreakHyphen/>
      </w:r>
      <w:r w:rsidR="00F25699">
        <w:fldChar w:fldCharType="begin"/>
      </w:r>
      <w:r w:rsidR="00F25699">
        <w:instrText xml:space="preserve"> SEQ Table \* ARABIC \s 1 </w:instrText>
      </w:r>
      <w:r w:rsidR="00F25699">
        <w:fldChar w:fldCharType="separate"/>
      </w:r>
      <w:r w:rsidR="00EF45A4">
        <w:rPr>
          <w:noProof/>
        </w:rPr>
        <w:t>5</w:t>
      </w:r>
      <w:r w:rsidR="00F25699">
        <w:rPr>
          <w:noProof/>
        </w:rPr>
        <w:fldChar w:fldCharType="end"/>
      </w:r>
      <w:bookmarkEnd w:id="7"/>
      <w:r>
        <w:t xml:space="preserve">:  Recommended NTGR by </w:t>
      </w:r>
      <w:r w:rsidR="00E54C96">
        <w:t>M</w:t>
      </w:r>
      <w:r>
        <w:t xml:space="preserve">easure and </w:t>
      </w:r>
      <w:r w:rsidR="00E54C96">
        <w:t>D</w:t>
      </w:r>
      <w:r>
        <w:t xml:space="preserve">elivery </w:t>
      </w:r>
      <w:r w:rsidR="00E54C96">
        <w:t>M</w:t>
      </w:r>
      <w:r>
        <w:t>ethod</w:t>
      </w:r>
    </w:p>
    <w:tbl>
      <w:tblPr>
        <w:tblStyle w:val="ItronBasic"/>
        <w:tblW w:w="0" w:type="auto"/>
        <w:tblCellMar>
          <w:left w:w="115" w:type="dxa"/>
          <w:right w:w="115" w:type="dxa"/>
        </w:tblCellMar>
        <w:tblLook w:val="04A0" w:firstRow="1" w:lastRow="0" w:firstColumn="1" w:lastColumn="0" w:noHBand="0" w:noVBand="1"/>
      </w:tblPr>
      <w:tblGrid>
        <w:gridCol w:w="1288"/>
        <w:gridCol w:w="1881"/>
        <w:gridCol w:w="1498"/>
        <w:gridCol w:w="1581"/>
        <w:gridCol w:w="1460"/>
        <w:gridCol w:w="1882"/>
      </w:tblGrid>
      <w:tr w:rsidR="00DE3651" w:rsidTr="00BD7911">
        <w:trPr>
          <w:cnfStyle w:val="100000000000" w:firstRow="1" w:lastRow="0" w:firstColumn="0" w:lastColumn="0" w:oddVBand="0" w:evenVBand="0" w:oddHBand="0" w:evenHBand="0" w:firstRowFirstColumn="0" w:firstRowLastColumn="0" w:lastRowFirstColumn="0" w:lastRowLastColumn="0"/>
          <w:cantSplit/>
          <w:tblHeader/>
        </w:trPr>
        <w:tc>
          <w:tcPr>
            <w:tcW w:w="0" w:type="auto"/>
            <w:shd w:val="pct20" w:color="auto" w:fill="auto"/>
            <w:vAlign w:val="bottom"/>
          </w:tcPr>
          <w:p w:rsidR="005D5C68" w:rsidRDefault="001A749A" w:rsidP="00BD7911">
            <w:pPr>
              <w:spacing w:before="120" w:after="120"/>
              <w:jc w:val="center"/>
              <w:rPr>
                <w:rFonts w:eastAsiaTheme="minorHAnsi"/>
                <w:b w:val="0"/>
              </w:rPr>
            </w:pPr>
            <w:r>
              <w:rPr>
                <w:rFonts w:eastAsiaTheme="minorHAnsi"/>
              </w:rPr>
              <w:t>EEM</w:t>
            </w:r>
          </w:p>
        </w:tc>
        <w:tc>
          <w:tcPr>
            <w:tcW w:w="0" w:type="auto"/>
            <w:shd w:val="pct20" w:color="auto" w:fill="auto"/>
            <w:vAlign w:val="bottom"/>
          </w:tcPr>
          <w:p w:rsidR="005D5C68" w:rsidRDefault="001A749A" w:rsidP="00BD7911">
            <w:pPr>
              <w:spacing w:before="120" w:after="120"/>
              <w:jc w:val="center"/>
              <w:rPr>
                <w:rFonts w:eastAsiaTheme="minorHAnsi"/>
                <w:b w:val="0"/>
              </w:rPr>
            </w:pPr>
            <w:r>
              <w:rPr>
                <w:rFonts w:eastAsiaTheme="minorHAnsi"/>
              </w:rPr>
              <w:t xml:space="preserve">EEM </w:t>
            </w:r>
            <w:r w:rsidR="00E54C96">
              <w:rPr>
                <w:rFonts w:eastAsiaTheme="minorHAnsi"/>
              </w:rPr>
              <w:t>C</w:t>
            </w:r>
            <w:r>
              <w:rPr>
                <w:rFonts w:eastAsiaTheme="minorHAnsi"/>
              </w:rPr>
              <w:t>haracteristics</w:t>
            </w:r>
          </w:p>
        </w:tc>
        <w:tc>
          <w:tcPr>
            <w:tcW w:w="0" w:type="auto"/>
            <w:shd w:val="pct20" w:color="auto" w:fill="auto"/>
            <w:vAlign w:val="bottom"/>
          </w:tcPr>
          <w:p w:rsidR="005D5C68" w:rsidRDefault="001A749A" w:rsidP="00BD7911">
            <w:pPr>
              <w:spacing w:before="120" w:after="120"/>
              <w:jc w:val="center"/>
              <w:rPr>
                <w:rFonts w:eastAsiaTheme="minorHAnsi"/>
                <w:b w:val="0"/>
              </w:rPr>
            </w:pPr>
            <w:r>
              <w:rPr>
                <w:rFonts w:eastAsiaTheme="minorHAnsi"/>
              </w:rPr>
              <w:t xml:space="preserve">Delivery </w:t>
            </w:r>
            <w:r w:rsidR="00E54C96">
              <w:rPr>
                <w:rFonts w:eastAsiaTheme="minorHAnsi"/>
              </w:rPr>
              <w:t>M</w:t>
            </w:r>
            <w:r>
              <w:rPr>
                <w:rFonts w:eastAsiaTheme="minorHAnsi"/>
              </w:rPr>
              <w:t>echanism</w:t>
            </w:r>
          </w:p>
        </w:tc>
        <w:tc>
          <w:tcPr>
            <w:tcW w:w="0" w:type="auto"/>
            <w:shd w:val="pct20" w:color="auto" w:fill="auto"/>
            <w:vAlign w:val="bottom"/>
          </w:tcPr>
          <w:p w:rsidR="005D5C68" w:rsidRDefault="001A749A" w:rsidP="00BD7911">
            <w:pPr>
              <w:spacing w:before="120" w:after="120"/>
              <w:jc w:val="center"/>
              <w:rPr>
                <w:rFonts w:eastAsiaTheme="minorHAnsi"/>
                <w:b w:val="0"/>
              </w:rPr>
            </w:pPr>
            <w:r>
              <w:rPr>
                <w:rFonts w:eastAsiaTheme="minorHAnsi"/>
              </w:rPr>
              <w:t xml:space="preserve">Applicable </w:t>
            </w:r>
            <w:r w:rsidR="00E54C96">
              <w:rPr>
                <w:rFonts w:eastAsiaTheme="minorHAnsi"/>
              </w:rPr>
              <w:t>S</w:t>
            </w:r>
            <w:r>
              <w:rPr>
                <w:rFonts w:eastAsiaTheme="minorHAnsi"/>
              </w:rPr>
              <w:t xml:space="preserve">ector and </w:t>
            </w:r>
            <w:r w:rsidR="00E54C96">
              <w:rPr>
                <w:rFonts w:eastAsiaTheme="minorHAnsi"/>
              </w:rPr>
              <w:t>B</w:t>
            </w:r>
            <w:r>
              <w:rPr>
                <w:rFonts w:eastAsiaTheme="minorHAnsi"/>
              </w:rPr>
              <w:t xml:space="preserve">uilding </w:t>
            </w:r>
            <w:r w:rsidR="00E54C96">
              <w:rPr>
                <w:rFonts w:eastAsiaTheme="minorHAnsi"/>
              </w:rPr>
              <w:t>T</w:t>
            </w:r>
            <w:r>
              <w:rPr>
                <w:rFonts w:eastAsiaTheme="minorHAnsi"/>
              </w:rPr>
              <w:t>ypes</w:t>
            </w:r>
          </w:p>
        </w:tc>
        <w:tc>
          <w:tcPr>
            <w:tcW w:w="0" w:type="auto"/>
            <w:shd w:val="pct20" w:color="auto" w:fill="auto"/>
            <w:vAlign w:val="bottom"/>
          </w:tcPr>
          <w:p w:rsidR="005D5C68" w:rsidRDefault="001A749A" w:rsidP="00BD7911">
            <w:pPr>
              <w:spacing w:before="120" w:after="120"/>
              <w:jc w:val="center"/>
              <w:rPr>
                <w:rFonts w:eastAsiaTheme="minorHAnsi"/>
                <w:b w:val="0"/>
              </w:rPr>
            </w:pPr>
            <w:r>
              <w:rPr>
                <w:rFonts w:eastAsiaTheme="minorHAnsi"/>
              </w:rPr>
              <w:t xml:space="preserve">Utility Specific or </w:t>
            </w:r>
            <w:r w:rsidR="00E54C96">
              <w:rPr>
                <w:rFonts w:eastAsiaTheme="minorHAnsi"/>
              </w:rPr>
              <w:t>S</w:t>
            </w:r>
            <w:r>
              <w:rPr>
                <w:rFonts w:eastAsiaTheme="minorHAnsi"/>
              </w:rPr>
              <w:t>tatewide NTGR</w:t>
            </w:r>
          </w:p>
        </w:tc>
        <w:tc>
          <w:tcPr>
            <w:tcW w:w="0" w:type="auto"/>
            <w:shd w:val="pct20" w:color="auto" w:fill="auto"/>
            <w:vAlign w:val="bottom"/>
          </w:tcPr>
          <w:p w:rsidR="005D5C68" w:rsidRDefault="001A749A" w:rsidP="00BD7911">
            <w:pPr>
              <w:spacing w:before="120" w:after="120"/>
              <w:jc w:val="center"/>
              <w:rPr>
                <w:rFonts w:eastAsiaTheme="minorHAnsi"/>
                <w:b w:val="0"/>
              </w:rPr>
            </w:pPr>
            <w:r>
              <w:rPr>
                <w:rFonts w:eastAsiaTheme="minorHAnsi"/>
              </w:rPr>
              <w:t xml:space="preserve">Recommended NTGR </w:t>
            </w:r>
            <w:r w:rsidR="00E54C96">
              <w:rPr>
                <w:rFonts w:eastAsiaTheme="minorHAnsi"/>
              </w:rPr>
              <w:t>V</w:t>
            </w:r>
            <w:r>
              <w:rPr>
                <w:rFonts w:eastAsiaTheme="minorHAnsi"/>
              </w:rPr>
              <w:t>alue</w:t>
            </w:r>
            <w:r w:rsidR="00E54C96">
              <w:rPr>
                <w:rFonts w:eastAsiaTheme="minorHAnsi"/>
              </w:rPr>
              <w:t>s</w:t>
            </w:r>
          </w:p>
        </w:tc>
      </w:tr>
      <w:tr w:rsidR="00DE3651" w:rsidTr="00DE3651">
        <w:trPr>
          <w:cantSplit/>
        </w:trPr>
        <w:tc>
          <w:tcPr>
            <w:tcW w:w="0" w:type="auto"/>
          </w:tcPr>
          <w:p w:rsidR="00915976" w:rsidRPr="00E156D2" w:rsidRDefault="00915976" w:rsidP="00322EFB">
            <w:pPr>
              <w:spacing w:after="0"/>
              <w:rPr>
                <w:sz w:val="20"/>
                <w:szCs w:val="20"/>
              </w:rPr>
            </w:pPr>
            <w:r>
              <w:rPr>
                <w:sz w:val="20"/>
                <w:szCs w:val="20"/>
              </w:rPr>
              <w:t>Pump off controllers</w:t>
            </w:r>
          </w:p>
        </w:tc>
        <w:tc>
          <w:tcPr>
            <w:tcW w:w="0" w:type="auto"/>
          </w:tcPr>
          <w:p w:rsidR="00915976" w:rsidRPr="00E156D2" w:rsidRDefault="00915976" w:rsidP="00322EFB">
            <w:pPr>
              <w:spacing w:after="0"/>
              <w:rPr>
                <w:rFonts w:eastAsiaTheme="minorHAnsi"/>
                <w:sz w:val="20"/>
                <w:szCs w:val="20"/>
              </w:rPr>
            </w:pPr>
          </w:p>
        </w:tc>
        <w:tc>
          <w:tcPr>
            <w:tcW w:w="0" w:type="auto"/>
          </w:tcPr>
          <w:p w:rsidR="00915976" w:rsidRPr="00E156D2" w:rsidRDefault="00915976" w:rsidP="00322EFB">
            <w:pPr>
              <w:spacing w:after="0"/>
              <w:rPr>
                <w:rFonts w:eastAsiaTheme="minorHAnsi"/>
                <w:sz w:val="20"/>
                <w:szCs w:val="20"/>
              </w:rPr>
            </w:pPr>
            <w:r w:rsidRPr="00E156D2">
              <w:rPr>
                <w:rFonts w:eastAsiaTheme="minorHAnsi"/>
                <w:sz w:val="20"/>
                <w:szCs w:val="20"/>
              </w:rPr>
              <w:t>Downstream</w:t>
            </w:r>
            <w:r>
              <w:rPr>
                <w:rFonts w:eastAsiaTheme="minorHAnsi"/>
                <w:sz w:val="20"/>
                <w:szCs w:val="20"/>
              </w:rPr>
              <w:t>, Custom</w:t>
            </w:r>
          </w:p>
        </w:tc>
        <w:tc>
          <w:tcPr>
            <w:tcW w:w="0" w:type="auto"/>
          </w:tcPr>
          <w:p w:rsidR="007F2229" w:rsidRDefault="00915976" w:rsidP="00322EFB">
            <w:pPr>
              <w:spacing w:after="0"/>
              <w:rPr>
                <w:rFonts w:eastAsiaTheme="minorHAnsi" w:cs="Arial"/>
                <w:b/>
                <w:bCs/>
                <w:sz w:val="20"/>
                <w:szCs w:val="20"/>
              </w:rPr>
            </w:pPr>
            <w:r>
              <w:rPr>
                <w:rFonts w:eastAsiaTheme="minorHAnsi"/>
                <w:sz w:val="20"/>
                <w:szCs w:val="20"/>
              </w:rPr>
              <w:t>Major oil companies</w:t>
            </w:r>
          </w:p>
        </w:tc>
        <w:tc>
          <w:tcPr>
            <w:tcW w:w="0" w:type="auto"/>
          </w:tcPr>
          <w:p w:rsidR="00915976" w:rsidRPr="00E156D2" w:rsidRDefault="00915976" w:rsidP="00EF45A4">
            <w:pPr>
              <w:spacing w:after="0"/>
              <w:jc w:val="center"/>
              <w:rPr>
                <w:rFonts w:eastAsiaTheme="minorHAnsi"/>
                <w:sz w:val="20"/>
                <w:szCs w:val="20"/>
              </w:rPr>
            </w:pPr>
            <w:r>
              <w:rPr>
                <w:rFonts w:eastAsiaTheme="minorHAnsi"/>
                <w:sz w:val="20"/>
                <w:szCs w:val="20"/>
              </w:rPr>
              <w:t>SW</w:t>
            </w:r>
          </w:p>
        </w:tc>
        <w:tc>
          <w:tcPr>
            <w:tcW w:w="0" w:type="auto"/>
          </w:tcPr>
          <w:p w:rsidR="00915976" w:rsidRPr="00E156D2" w:rsidRDefault="00915976" w:rsidP="00EF45A4">
            <w:pPr>
              <w:spacing w:after="0"/>
              <w:jc w:val="center"/>
              <w:rPr>
                <w:sz w:val="20"/>
                <w:szCs w:val="20"/>
              </w:rPr>
            </w:pPr>
            <w:r>
              <w:rPr>
                <w:sz w:val="20"/>
                <w:szCs w:val="20"/>
              </w:rPr>
              <w:t>0.4</w:t>
            </w:r>
            <w:r w:rsidR="00DE0FDA">
              <w:rPr>
                <w:sz w:val="20"/>
                <w:szCs w:val="20"/>
              </w:rPr>
              <w:t>2</w:t>
            </w:r>
          </w:p>
        </w:tc>
      </w:tr>
      <w:tr w:rsidR="00BF0F9F" w:rsidTr="00DE3651">
        <w:trPr>
          <w:cantSplit/>
        </w:trPr>
        <w:tc>
          <w:tcPr>
            <w:tcW w:w="0" w:type="auto"/>
          </w:tcPr>
          <w:p w:rsidR="00BF0F9F" w:rsidRDefault="00BF0F9F" w:rsidP="00322EFB">
            <w:pPr>
              <w:spacing w:after="0"/>
              <w:rPr>
                <w:sz w:val="20"/>
                <w:szCs w:val="20"/>
              </w:rPr>
            </w:pPr>
            <w:r>
              <w:rPr>
                <w:sz w:val="20"/>
                <w:szCs w:val="20"/>
              </w:rPr>
              <w:t>Pump off controllers</w:t>
            </w:r>
          </w:p>
        </w:tc>
        <w:tc>
          <w:tcPr>
            <w:tcW w:w="0" w:type="auto"/>
          </w:tcPr>
          <w:p w:rsidR="00BF0F9F" w:rsidRPr="00E156D2" w:rsidRDefault="00BF0F9F" w:rsidP="00322EFB">
            <w:pPr>
              <w:spacing w:after="0"/>
              <w:rPr>
                <w:rFonts w:eastAsiaTheme="minorHAnsi"/>
                <w:sz w:val="20"/>
                <w:szCs w:val="20"/>
              </w:rPr>
            </w:pPr>
          </w:p>
        </w:tc>
        <w:tc>
          <w:tcPr>
            <w:tcW w:w="0" w:type="auto"/>
          </w:tcPr>
          <w:p w:rsidR="00BF0F9F" w:rsidRPr="00E156D2" w:rsidRDefault="00BF0F9F" w:rsidP="00322EFB">
            <w:pPr>
              <w:spacing w:after="0"/>
              <w:rPr>
                <w:rFonts w:eastAsiaTheme="minorHAnsi"/>
                <w:sz w:val="20"/>
                <w:szCs w:val="20"/>
              </w:rPr>
            </w:pPr>
            <w:r w:rsidRPr="00E156D2">
              <w:rPr>
                <w:rFonts w:eastAsiaTheme="minorHAnsi"/>
                <w:sz w:val="20"/>
                <w:szCs w:val="20"/>
              </w:rPr>
              <w:t>Downstream</w:t>
            </w:r>
            <w:r>
              <w:rPr>
                <w:rFonts w:eastAsiaTheme="minorHAnsi"/>
                <w:sz w:val="20"/>
                <w:szCs w:val="20"/>
              </w:rPr>
              <w:t>, Custom</w:t>
            </w:r>
          </w:p>
        </w:tc>
        <w:tc>
          <w:tcPr>
            <w:tcW w:w="0" w:type="auto"/>
          </w:tcPr>
          <w:p w:rsidR="00BF0F9F" w:rsidRDefault="00DE0FDA" w:rsidP="00322EFB">
            <w:pPr>
              <w:spacing w:after="0"/>
              <w:rPr>
                <w:rFonts w:eastAsiaTheme="minorHAnsi"/>
                <w:sz w:val="20"/>
                <w:szCs w:val="20"/>
              </w:rPr>
            </w:pPr>
            <w:r>
              <w:rPr>
                <w:rFonts w:eastAsiaTheme="minorHAnsi"/>
                <w:sz w:val="20"/>
                <w:szCs w:val="20"/>
              </w:rPr>
              <w:t>I</w:t>
            </w:r>
            <w:r w:rsidR="00BF0F9F">
              <w:rPr>
                <w:rFonts w:eastAsiaTheme="minorHAnsi"/>
                <w:sz w:val="20"/>
                <w:szCs w:val="20"/>
              </w:rPr>
              <w:t>ndependent oil companies</w:t>
            </w:r>
          </w:p>
        </w:tc>
        <w:tc>
          <w:tcPr>
            <w:tcW w:w="0" w:type="auto"/>
          </w:tcPr>
          <w:p w:rsidR="00BF0F9F" w:rsidRDefault="00BF0F9F" w:rsidP="00EF45A4">
            <w:pPr>
              <w:spacing w:after="0"/>
              <w:jc w:val="center"/>
              <w:rPr>
                <w:rFonts w:eastAsiaTheme="minorHAnsi"/>
                <w:sz w:val="20"/>
                <w:szCs w:val="20"/>
              </w:rPr>
            </w:pPr>
            <w:r>
              <w:rPr>
                <w:rFonts w:eastAsiaTheme="minorHAnsi"/>
                <w:sz w:val="20"/>
                <w:szCs w:val="20"/>
              </w:rPr>
              <w:t>SW</w:t>
            </w:r>
          </w:p>
        </w:tc>
        <w:tc>
          <w:tcPr>
            <w:tcW w:w="0" w:type="auto"/>
          </w:tcPr>
          <w:p w:rsidR="00BF0F9F" w:rsidRDefault="00DE0FDA" w:rsidP="00EF45A4">
            <w:pPr>
              <w:spacing w:after="0"/>
              <w:jc w:val="center"/>
              <w:rPr>
                <w:sz w:val="20"/>
                <w:szCs w:val="20"/>
              </w:rPr>
            </w:pPr>
            <w:r>
              <w:rPr>
                <w:sz w:val="20"/>
                <w:szCs w:val="20"/>
              </w:rPr>
              <w:t>0.74</w:t>
            </w:r>
          </w:p>
        </w:tc>
      </w:tr>
      <w:tr w:rsidR="00BF0F9F" w:rsidTr="00DE3651">
        <w:trPr>
          <w:cantSplit/>
        </w:trPr>
        <w:tc>
          <w:tcPr>
            <w:tcW w:w="0" w:type="auto"/>
          </w:tcPr>
          <w:p w:rsidR="00BF0F9F" w:rsidRPr="00E156D2" w:rsidRDefault="00BF0F9F" w:rsidP="00322EFB">
            <w:pPr>
              <w:spacing w:after="0"/>
              <w:rPr>
                <w:sz w:val="20"/>
                <w:szCs w:val="20"/>
              </w:rPr>
            </w:pPr>
            <w:r>
              <w:rPr>
                <w:sz w:val="20"/>
                <w:szCs w:val="20"/>
              </w:rPr>
              <w:t>Custom Electric Measures</w:t>
            </w:r>
          </w:p>
        </w:tc>
        <w:tc>
          <w:tcPr>
            <w:tcW w:w="0" w:type="auto"/>
          </w:tcPr>
          <w:p w:rsidR="00BF0F9F" w:rsidRPr="00E156D2" w:rsidRDefault="00BF0F9F" w:rsidP="00322EFB">
            <w:pPr>
              <w:spacing w:after="0"/>
              <w:rPr>
                <w:rFonts w:eastAsiaTheme="minorHAnsi"/>
                <w:sz w:val="20"/>
                <w:szCs w:val="20"/>
              </w:rPr>
            </w:pPr>
          </w:p>
        </w:tc>
        <w:tc>
          <w:tcPr>
            <w:tcW w:w="0" w:type="auto"/>
          </w:tcPr>
          <w:p w:rsidR="00BF0F9F" w:rsidRPr="00E156D2" w:rsidRDefault="00BF0F9F" w:rsidP="00322EFB">
            <w:pPr>
              <w:spacing w:after="0"/>
              <w:rPr>
                <w:rFonts w:eastAsiaTheme="minorHAnsi"/>
                <w:sz w:val="20"/>
                <w:szCs w:val="20"/>
              </w:rPr>
            </w:pPr>
            <w:r w:rsidRPr="00E156D2">
              <w:rPr>
                <w:rFonts w:eastAsiaTheme="minorHAnsi"/>
                <w:sz w:val="20"/>
                <w:szCs w:val="20"/>
              </w:rPr>
              <w:t>Downstream</w:t>
            </w:r>
            <w:r>
              <w:rPr>
                <w:rFonts w:eastAsiaTheme="minorHAnsi"/>
                <w:sz w:val="20"/>
                <w:szCs w:val="20"/>
              </w:rPr>
              <w:t>, Custom</w:t>
            </w:r>
          </w:p>
        </w:tc>
        <w:tc>
          <w:tcPr>
            <w:tcW w:w="0" w:type="auto"/>
          </w:tcPr>
          <w:p w:rsidR="00BF0F9F" w:rsidRPr="00E156D2" w:rsidRDefault="00BF0F9F" w:rsidP="00322EFB">
            <w:pPr>
              <w:spacing w:after="0"/>
              <w:rPr>
                <w:rFonts w:eastAsiaTheme="minorHAnsi"/>
                <w:sz w:val="20"/>
                <w:szCs w:val="20"/>
              </w:rPr>
            </w:pPr>
            <w:r>
              <w:rPr>
                <w:rFonts w:eastAsiaTheme="minorHAnsi"/>
                <w:sz w:val="20"/>
                <w:szCs w:val="20"/>
              </w:rPr>
              <w:t xml:space="preserve">Large Commercial and </w:t>
            </w:r>
            <w:r w:rsidRPr="00E156D2">
              <w:rPr>
                <w:rFonts w:eastAsiaTheme="minorHAnsi"/>
                <w:sz w:val="20"/>
                <w:szCs w:val="20"/>
              </w:rPr>
              <w:t>Industrial</w:t>
            </w:r>
          </w:p>
        </w:tc>
        <w:tc>
          <w:tcPr>
            <w:tcW w:w="0" w:type="auto"/>
          </w:tcPr>
          <w:p w:rsidR="00BF0F9F" w:rsidRPr="00E156D2" w:rsidRDefault="00BF0F9F" w:rsidP="00EF45A4">
            <w:pPr>
              <w:spacing w:after="0"/>
              <w:jc w:val="center"/>
              <w:rPr>
                <w:rFonts w:eastAsiaTheme="minorHAnsi"/>
                <w:sz w:val="20"/>
                <w:szCs w:val="20"/>
              </w:rPr>
            </w:pPr>
            <w:r>
              <w:rPr>
                <w:rFonts w:eastAsiaTheme="minorHAnsi"/>
                <w:sz w:val="20"/>
                <w:szCs w:val="20"/>
              </w:rPr>
              <w:t>SW</w:t>
            </w:r>
          </w:p>
        </w:tc>
        <w:tc>
          <w:tcPr>
            <w:tcW w:w="0" w:type="auto"/>
          </w:tcPr>
          <w:p w:rsidR="00BF0F9F" w:rsidRDefault="00BF0F9F" w:rsidP="00EF45A4">
            <w:pPr>
              <w:spacing w:after="0"/>
              <w:jc w:val="center"/>
              <w:rPr>
                <w:sz w:val="20"/>
                <w:szCs w:val="20"/>
              </w:rPr>
            </w:pPr>
            <w:r>
              <w:rPr>
                <w:sz w:val="20"/>
                <w:szCs w:val="20"/>
              </w:rPr>
              <w:t>0.</w:t>
            </w:r>
            <w:r w:rsidR="00DE0FDA">
              <w:rPr>
                <w:sz w:val="20"/>
                <w:szCs w:val="20"/>
              </w:rPr>
              <w:t>60</w:t>
            </w:r>
          </w:p>
          <w:p w:rsidR="00BF0F9F" w:rsidRPr="00E156D2" w:rsidRDefault="00BF0F9F" w:rsidP="00EF45A4">
            <w:pPr>
              <w:spacing w:after="0"/>
              <w:jc w:val="center"/>
              <w:rPr>
                <w:sz w:val="20"/>
                <w:szCs w:val="20"/>
              </w:rPr>
            </w:pPr>
          </w:p>
        </w:tc>
      </w:tr>
      <w:tr w:rsidR="00BF0F9F" w:rsidTr="00DE3651">
        <w:trPr>
          <w:cantSplit/>
        </w:trPr>
        <w:tc>
          <w:tcPr>
            <w:tcW w:w="0" w:type="auto"/>
          </w:tcPr>
          <w:p w:rsidR="00BF0F9F" w:rsidRDefault="00BF0F9F" w:rsidP="00322EFB">
            <w:pPr>
              <w:spacing w:after="0"/>
              <w:rPr>
                <w:sz w:val="20"/>
                <w:szCs w:val="20"/>
              </w:rPr>
            </w:pPr>
            <w:r>
              <w:rPr>
                <w:sz w:val="20"/>
                <w:szCs w:val="20"/>
              </w:rPr>
              <w:t>Custom Gas Measures</w:t>
            </w:r>
          </w:p>
        </w:tc>
        <w:tc>
          <w:tcPr>
            <w:tcW w:w="0" w:type="auto"/>
          </w:tcPr>
          <w:p w:rsidR="00BF0F9F" w:rsidRPr="00E156D2" w:rsidRDefault="00BF0F9F" w:rsidP="00322EFB">
            <w:pPr>
              <w:spacing w:after="0"/>
              <w:rPr>
                <w:rFonts w:eastAsiaTheme="minorHAnsi"/>
                <w:sz w:val="20"/>
                <w:szCs w:val="20"/>
              </w:rPr>
            </w:pPr>
          </w:p>
        </w:tc>
        <w:tc>
          <w:tcPr>
            <w:tcW w:w="0" w:type="auto"/>
          </w:tcPr>
          <w:p w:rsidR="00BF0F9F" w:rsidRPr="00E156D2" w:rsidRDefault="00BF0F9F" w:rsidP="00322EFB">
            <w:pPr>
              <w:spacing w:after="0"/>
              <w:rPr>
                <w:rFonts w:eastAsiaTheme="minorHAnsi"/>
                <w:sz w:val="20"/>
                <w:szCs w:val="20"/>
              </w:rPr>
            </w:pPr>
            <w:r w:rsidRPr="00E156D2">
              <w:rPr>
                <w:rFonts w:eastAsiaTheme="minorHAnsi"/>
                <w:sz w:val="20"/>
                <w:szCs w:val="20"/>
              </w:rPr>
              <w:t>Downstream</w:t>
            </w:r>
            <w:r>
              <w:rPr>
                <w:rFonts w:eastAsiaTheme="minorHAnsi"/>
                <w:sz w:val="20"/>
                <w:szCs w:val="20"/>
              </w:rPr>
              <w:t>, Custom</w:t>
            </w:r>
          </w:p>
        </w:tc>
        <w:tc>
          <w:tcPr>
            <w:tcW w:w="0" w:type="auto"/>
          </w:tcPr>
          <w:p w:rsidR="00BF0F9F" w:rsidRPr="00E156D2" w:rsidRDefault="00BF0F9F" w:rsidP="00322EFB">
            <w:pPr>
              <w:spacing w:after="0"/>
              <w:rPr>
                <w:rFonts w:eastAsiaTheme="minorHAnsi"/>
                <w:sz w:val="20"/>
                <w:szCs w:val="20"/>
              </w:rPr>
            </w:pPr>
            <w:r>
              <w:rPr>
                <w:rFonts w:eastAsiaTheme="minorHAnsi"/>
                <w:sz w:val="20"/>
                <w:szCs w:val="20"/>
              </w:rPr>
              <w:t xml:space="preserve">Large Commercial and </w:t>
            </w:r>
            <w:r w:rsidRPr="00E156D2">
              <w:rPr>
                <w:rFonts w:eastAsiaTheme="minorHAnsi"/>
                <w:sz w:val="20"/>
                <w:szCs w:val="20"/>
              </w:rPr>
              <w:t>Industrial</w:t>
            </w:r>
          </w:p>
        </w:tc>
        <w:tc>
          <w:tcPr>
            <w:tcW w:w="0" w:type="auto"/>
          </w:tcPr>
          <w:p w:rsidR="00BF0F9F" w:rsidRPr="00E156D2" w:rsidRDefault="00BF0F9F" w:rsidP="00EF45A4">
            <w:pPr>
              <w:spacing w:after="0"/>
              <w:jc w:val="center"/>
              <w:rPr>
                <w:rFonts w:eastAsiaTheme="minorHAnsi"/>
                <w:sz w:val="20"/>
                <w:szCs w:val="20"/>
              </w:rPr>
            </w:pPr>
            <w:r>
              <w:rPr>
                <w:rFonts w:eastAsiaTheme="minorHAnsi"/>
                <w:sz w:val="20"/>
                <w:szCs w:val="20"/>
              </w:rPr>
              <w:t>SW</w:t>
            </w:r>
          </w:p>
        </w:tc>
        <w:tc>
          <w:tcPr>
            <w:tcW w:w="0" w:type="auto"/>
          </w:tcPr>
          <w:p w:rsidR="00BF0F9F" w:rsidRPr="00E156D2" w:rsidRDefault="00BF0F9F" w:rsidP="00EF45A4">
            <w:pPr>
              <w:spacing w:after="0"/>
              <w:jc w:val="center"/>
              <w:rPr>
                <w:sz w:val="20"/>
                <w:szCs w:val="20"/>
              </w:rPr>
            </w:pPr>
            <w:r>
              <w:rPr>
                <w:sz w:val="20"/>
                <w:szCs w:val="20"/>
              </w:rPr>
              <w:t>0.35</w:t>
            </w:r>
          </w:p>
        </w:tc>
      </w:tr>
      <w:tr w:rsidR="00BF0F9F" w:rsidTr="00DE3651">
        <w:trPr>
          <w:cantSplit/>
        </w:trPr>
        <w:tc>
          <w:tcPr>
            <w:tcW w:w="0" w:type="auto"/>
          </w:tcPr>
          <w:p w:rsidR="00BF0F9F" w:rsidRPr="00E156D2" w:rsidRDefault="00BF0F9F" w:rsidP="00322EFB">
            <w:pPr>
              <w:spacing w:after="0"/>
              <w:rPr>
                <w:sz w:val="20"/>
                <w:szCs w:val="20"/>
              </w:rPr>
            </w:pPr>
            <w:r w:rsidRPr="00E156D2">
              <w:rPr>
                <w:sz w:val="20"/>
                <w:szCs w:val="20"/>
              </w:rPr>
              <w:t>Pipe Insulation</w:t>
            </w:r>
          </w:p>
        </w:tc>
        <w:tc>
          <w:tcPr>
            <w:tcW w:w="0" w:type="auto"/>
          </w:tcPr>
          <w:p w:rsidR="00BF0F9F" w:rsidRPr="00E156D2" w:rsidRDefault="00BF0F9F" w:rsidP="00322EFB">
            <w:pPr>
              <w:spacing w:after="0"/>
              <w:rPr>
                <w:rFonts w:eastAsiaTheme="minorHAnsi"/>
                <w:sz w:val="20"/>
                <w:szCs w:val="20"/>
              </w:rPr>
            </w:pPr>
            <w:r w:rsidRPr="00E156D2">
              <w:rPr>
                <w:rFonts w:eastAsiaTheme="minorHAnsi"/>
                <w:sz w:val="20"/>
                <w:szCs w:val="20"/>
              </w:rPr>
              <w:t>Various diameters and pressures</w:t>
            </w:r>
          </w:p>
        </w:tc>
        <w:tc>
          <w:tcPr>
            <w:tcW w:w="0" w:type="auto"/>
          </w:tcPr>
          <w:p w:rsidR="00BF0F9F" w:rsidRPr="00E156D2" w:rsidRDefault="00BF0F9F" w:rsidP="00322EFB">
            <w:pPr>
              <w:spacing w:after="0"/>
              <w:rPr>
                <w:rFonts w:eastAsiaTheme="minorHAnsi"/>
                <w:sz w:val="20"/>
                <w:szCs w:val="20"/>
              </w:rPr>
            </w:pPr>
            <w:r w:rsidRPr="00E156D2">
              <w:rPr>
                <w:rFonts w:eastAsiaTheme="minorHAnsi"/>
                <w:sz w:val="20"/>
                <w:szCs w:val="20"/>
              </w:rPr>
              <w:t>Downstream</w:t>
            </w:r>
            <w:r>
              <w:rPr>
                <w:rFonts w:eastAsiaTheme="minorHAnsi"/>
                <w:sz w:val="20"/>
                <w:szCs w:val="20"/>
              </w:rPr>
              <w:t>, Custom</w:t>
            </w:r>
          </w:p>
        </w:tc>
        <w:tc>
          <w:tcPr>
            <w:tcW w:w="0" w:type="auto"/>
          </w:tcPr>
          <w:p w:rsidR="00BF0F9F" w:rsidRDefault="00BF0F9F" w:rsidP="00322EFB">
            <w:pPr>
              <w:spacing w:after="0"/>
              <w:rPr>
                <w:rFonts w:eastAsiaTheme="minorHAnsi"/>
                <w:sz w:val="20"/>
                <w:szCs w:val="20"/>
              </w:rPr>
            </w:pPr>
            <w:r w:rsidRPr="00E156D2">
              <w:rPr>
                <w:rFonts w:eastAsiaTheme="minorHAnsi"/>
                <w:sz w:val="20"/>
                <w:szCs w:val="20"/>
              </w:rPr>
              <w:t>Industrial</w:t>
            </w:r>
          </w:p>
        </w:tc>
        <w:tc>
          <w:tcPr>
            <w:tcW w:w="0" w:type="auto"/>
          </w:tcPr>
          <w:p w:rsidR="00BF0F9F" w:rsidRPr="00E156D2" w:rsidRDefault="00BF0F9F" w:rsidP="00EF45A4">
            <w:pPr>
              <w:spacing w:after="0"/>
              <w:jc w:val="center"/>
              <w:rPr>
                <w:rFonts w:eastAsiaTheme="minorHAnsi"/>
                <w:sz w:val="20"/>
                <w:szCs w:val="20"/>
              </w:rPr>
            </w:pPr>
            <w:r>
              <w:rPr>
                <w:rFonts w:eastAsiaTheme="minorHAnsi"/>
                <w:sz w:val="20"/>
                <w:szCs w:val="20"/>
              </w:rPr>
              <w:t>SW</w:t>
            </w:r>
          </w:p>
        </w:tc>
        <w:tc>
          <w:tcPr>
            <w:tcW w:w="0" w:type="auto"/>
          </w:tcPr>
          <w:p w:rsidR="00BF0F9F" w:rsidRPr="00E156D2" w:rsidRDefault="00BF0F9F" w:rsidP="00EF45A4">
            <w:pPr>
              <w:spacing w:after="0"/>
              <w:jc w:val="center"/>
              <w:rPr>
                <w:sz w:val="20"/>
                <w:szCs w:val="20"/>
              </w:rPr>
            </w:pPr>
            <w:r>
              <w:rPr>
                <w:sz w:val="20"/>
                <w:szCs w:val="20"/>
              </w:rPr>
              <w:t>0.71</w:t>
            </w:r>
          </w:p>
          <w:p w:rsidR="00BF0F9F" w:rsidRPr="00E156D2" w:rsidRDefault="00BF0F9F" w:rsidP="00EF45A4">
            <w:pPr>
              <w:spacing w:after="0"/>
              <w:jc w:val="center"/>
              <w:rPr>
                <w:sz w:val="20"/>
                <w:szCs w:val="20"/>
              </w:rPr>
            </w:pPr>
          </w:p>
        </w:tc>
      </w:tr>
      <w:tr w:rsidR="00BF0F9F" w:rsidTr="00322EFB">
        <w:trPr>
          <w:cantSplit/>
          <w:trHeight w:val="485"/>
        </w:trPr>
        <w:tc>
          <w:tcPr>
            <w:tcW w:w="0" w:type="auto"/>
          </w:tcPr>
          <w:p w:rsidR="00BF0F9F" w:rsidRPr="00E156D2" w:rsidRDefault="00BF0F9F" w:rsidP="00322EFB">
            <w:pPr>
              <w:spacing w:after="0"/>
              <w:rPr>
                <w:sz w:val="20"/>
                <w:szCs w:val="20"/>
              </w:rPr>
            </w:pPr>
            <w:r w:rsidRPr="00E156D2">
              <w:rPr>
                <w:sz w:val="20"/>
                <w:szCs w:val="20"/>
              </w:rPr>
              <w:t>Steam Traps</w:t>
            </w:r>
          </w:p>
        </w:tc>
        <w:tc>
          <w:tcPr>
            <w:tcW w:w="0" w:type="auto"/>
          </w:tcPr>
          <w:p w:rsidR="00BF0F9F" w:rsidRDefault="00BF0F9F" w:rsidP="00322EFB">
            <w:pPr>
              <w:spacing w:after="0"/>
              <w:rPr>
                <w:rFonts w:eastAsiaTheme="minorHAnsi"/>
                <w:sz w:val="20"/>
                <w:szCs w:val="20"/>
              </w:rPr>
            </w:pPr>
            <w:r>
              <w:rPr>
                <w:rFonts w:eastAsiaTheme="minorHAnsi"/>
                <w:sz w:val="20"/>
                <w:szCs w:val="20"/>
              </w:rPr>
              <w:t xml:space="preserve">Pressure levels: High </w:t>
            </w:r>
            <w:r w:rsidRPr="00E156D2">
              <w:rPr>
                <w:rFonts w:eastAsiaTheme="minorHAnsi"/>
                <w:sz w:val="20"/>
                <w:szCs w:val="20"/>
              </w:rPr>
              <w:t xml:space="preserve">and Low </w:t>
            </w:r>
          </w:p>
        </w:tc>
        <w:tc>
          <w:tcPr>
            <w:tcW w:w="0" w:type="auto"/>
          </w:tcPr>
          <w:p w:rsidR="00BF0F9F" w:rsidRPr="00E156D2" w:rsidRDefault="00BF0F9F" w:rsidP="00322EFB">
            <w:pPr>
              <w:spacing w:after="0"/>
              <w:rPr>
                <w:rFonts w:eastAsiaTheme="minorHAnsi"/>
                <w:sz w:val="20"/>
                <w:szCs w:val="20"/>
              </w:rPr>
            </w:pPr>
            <w:r w:rsidRPr="00E156D2">
              <w:rPr>
                <w:rFonts w:eastAsiaTheme="minorHAnsi"/>
                <w:sz w:val="20"/>
                <w:szCs w:val="20"/>
              </w:rPr>
              <w:t>Customized</w:t>
            </w:r>
          </w:p>
        </w:tc>
        <w:tc>
          <w:tcPr>
            <w:tcW w:w="0" w:type="auto"/>
          </w:tcPr>
          <w:p w:rsidR="00BF0F9F" w:rsidRDefault="00BF0F9F" w:rsidP="00322EFB">
            <w:pPr>
              <w:spacing w:after="0"/>
              <w:rPr>
                <w:rFonts w:eastAsiaTheme="minorHAnsi"/>
                <w:sz w:val="20"/>
                <w:szCs w:val="20"/>
              </w:rPr>
            </w:pPr>
            <w:r w:rsidRPr="00E156D2">
              <w:rPr>
                <w:rFonts w:eastAsiaTheme="minorHAnsi"/>
                <w:sz w:val="20"/>
                <w:szCs w:val="20"/>
              </w:rPr>
              <w:t>Industrial</w:t>
            </w:r>
          </w:p>
        </w:tc>
        <w:tc>
          <w:tcPr>
            <w:tcW w:w="0" w:type="auto"/>
          </w:tcPr>
          <w:p w:rsidR="00BF0F9F" w:rsidRDefault="00BF0F9F" w:rsidP="00EF45A4">
            <w:pPr>
              <w:spacing w:after="0"/>
              <w:jc w:val="center"/>
              <w:rPr>
                <w:rFonts w:eastAsiaTheme="minorHAnsi"/>
                <w:sz w:val="20"/>
                <w:szCs w:val="20"/>
              </w:rPr>
            </w:pPr>
            <w:r w:rsidRPr="00E156D2">
              <w:rPr>
                <w:rFonts w:eastAsiaTheme="minorHAnsi"/>
                <w:sz w:val="20"/>
                <w:szCs w:val="20"/>
              </w:rPr>
              <w:t>SW</w:t>
            </w:r>
          </w:p>
        </w:tc>
        <w:tc>
          <w:tcPr>
            <w:tcW w:w="0" w:type="auto"/>
          </w:tcPr>
          <w:p w:rsidR="00BF0F9F" w:rsidRPr="00E156D2" w:rsidRDefault="00BF0F9F" w:rsidP="00EF45A4">
            <w:pPr>
              <w:spacing w:after="0"/>
              <w:jc w:val="center"/>
              <w:rPr>
                <w:sz w:val="20"/>
                <w:szCs w:val="20"/>
              </w:rPr>
            </w:pPr>
            <w:r>
              <w:rPr>
                <w:sz w:val="20"/>
                <w:szCs w:val="20"/>
              </w:rPr>
              <w:t>0.52</w:t>
            </w:r>
          </w:p>
        </w:tc>
      </w:tr>
      <w:tr w:rsidR="00BF0F9F" w:rsidTr="00DE3651">
        <w:trPr>
          <w:cantSplit/>
        </w:trPr>
        <w:tc>
          <w:tcPr>
            <w:tcW w:w="0" w:type="auto"/>
          </w:tcPr>
          <w:p w:rsidR="00BF0F9F" w:rsidRPr="00E156D2" w:rsidRDefault="00BF0F9F" w:rsidP="00322EFB">
            <w:pPr>
              <w:spacing w:after="0"/>
              <w:rPr>
                <w:sz w:val="20"/>
                <w:szCs w:val="20"/>
              </w:rPr>
            </w:pPr>
            <w:r w:rsidRPr="00E156D2">
              <w:rPr>
                <w:sz w:val="20"/>
                <w:szCs w:val="20"/>
              </w:rPr>
              <w:t>Greenhouse Heat Curtain</w:t>
            </w:r>
          </w:p>
        </w:tc>
        <w:tc>
          <w:tcPr>
            <w:tcW w:w="0" w:type="auto"/>
          </w:tcPr>
          <w:p w:rsidR="00BF0F9F" w:rsidRPr="00E156D2" w:rsidRDefault="00BF0F9F" w:rsidP="00322EFB">
            <w:pPr>
              <w:spacing w:after="0"/>
              <w:rPr>
                <w:rFonts w:eastAsiaTheme="minorHAnsi"/>
                <w:sz w:val="20"/>
                <w:szCs w:val="20"/>
              </w:rPr>
            </w:pPr>
            <w:r w:rsidRPr="00E156D2">
              <w:rPr>
                <w:rFonts w:eastAsiaTheme="minorHAnsi"/>
                <w:sz w:val="20"/>
                <w:szCs w:val="20"/>
              </w:rPr>
              <w:t xml:space="preserve"> </w:t>
            </w:r>
          </w:p>
        </w:tc>
        <w:tc>
          <w:tcPr>
            <w:tcW w:w="0" w:type="auto"/>
          </w:tcPr>
          <w:p w:rsidR="00BF0F9F" w:rsidRPr="00E156D2" w:rsidRDefault="00BF0F9F" w:rsidP="00322EFB">
            <w:pPr>
              <w:spacing w:after="0"/>
              <w:rPr>
                <w:rFonts w:eastAsiaTheme="minorHAnsi"/>
                <w:sz w:val="20"/>
                <w:szCs w:val="20"/>
              </w:rPr>
            </w:pPr>
            <w:r w:rsidRPr="00E156D2">
              <w:rPr>
                <w:rFonts w:eastAsiaTheme="minorHAnsi"/>
                <w:sz w:val="20"/>
                <w:szCs w:val="20"/>
              </w:rPr>
              <w:t xml:space="preserve">Downstream Prescriptive, </w:t>
            </w:r>
          </w:p>
        </w:tc>
        <w:tc>
          <w:tcPr>
            <w:tcW w:w="0" w:type="auto"/>
          </w:tcPr>
          <w:p w:rsidR="00BF0F9F" w:rsidRPr="00E156D2" w:rsidRDefault="00BF0F9F" w:rsidP="00322EFB">
            <w:pPr>
              <w:spacing w:after="0"/>
              <w:rPr>
                <w:rFonts w:eastAsiaTheme="minorHAnsi"/>
                <w:sz w:val="20"/>
                <w:szCs w:val="20"/>
              </w:rPr>
            </w:pPr>
            <w:r w:rsidRPr="00E156D2">
              <w:rPr>
                <w:rFonts w:eastAsiaTheme="minorHAnsi"/>
                <w:sz w:val="20"/>
                <w:szCs w:val="20"/>
              </w:rPr>
              <w:t>Agricultural greenhouse</w:t>
            </w:r>
          </w:p>
        </w:tc>
        <w:tc>
          <w:tcPr>
            <w:tcW w:w="0" w:type="auto"/>
          </w:tcPr>
          <w:p w:rsidR="00BF0F9F" w:rsidRPr="00E156D2" w:rsidRDefault="00BF0F9F" w:rsidP="00EF45A4">
            <w:pPr>
              <w:spacing w:after="0"/>
              <w:jc w:val="center"/>
              <w:rPr>
                <w:rFonts w:eastAsiaTheme="minorHAnsi"/>
                <w:sz w:val="20"/>
                <w:szCs w:val="20"/>
              </w:rPr>
            </w:pPr>
            <w:r w:rsidRPr="00E156D2">
              <w:rPr>
                <w:rFonts w:eastAsiaTheme="minorHAnsi"/>
                <w:sz w:val="20"/>
                <w:szCs w:val="20"/>
              </w:rPr>
              <w:t>SW</w:t>
            </w:r>
          </w:p>
        </w:tc>
        <w:tc>
          <w:tcPr>
            <w:tcW w:w="0" w:type="auto"/>
          </w:tcPr>
          <w:p w:rsidR="00BF0F9F" w:rsidRPr="00E156D2" w:rsidRDefault="00BF0F9F" w:rsidP="00EF45A4">
            <w:pPr>
              <w:spacing w:after="0"/>
              <w:jc w:val="center"/>
              <w:rPr>
                <w:sz w:val="20"/>
                <w:szCs w:val="20"/>
              </w:rPr>
            </w:pPr>
            <w:r w:rsidRPr="00E156D2">
              <w:rPr>
                <w:sz w:val="20"/>
                <w:szCs w:val="20"/>
              </w:rPr>
              <w:t>0.63</w:t>
            </w:r>
          </w:p>
        </w:tc>
      </w:tr>
      <w:tr w:rsidR="00BF0F9F" w:rsidTr="00DE3651">
        <w:trPr>
          <w:cantSplit/>
        </w:trPr>
        <w:tc>
          <w:tcPr>
            <w:tcW w:w="0" w:type="auto"/>
          </w:tcPr>
          <w:p w:rsidR="00BF0F9F" w:rsidRPr="00E156D2" w:rsidRDefault="00BF0F9F" w:rsidP="00322EFB">
            <w:pPr>
              <w:spacing w:after="0"/>
              <w:rPr>
                <w:sz w:val="20"/>
                <w:szCs w:val="20"/>
              </w:rPr>
            </w:pPr>
            <w:r w:rsidRPr="00E156D2">
              <w:rPr>
                <w:sz w:val="20"/>
                <w:szCs w:val="20"/>
              </w:rPr>
              <w:t>Infrared Film</w:t>
            </w:r>
          </w:p>
        </w:tc>
        <w:tc>
          <w:tcPr>
            <w:tcW w:w="0" w:type="auto"/>
          </w:tcPr>
          <w:p w:rsidR="00BF0F9F" w:rsidRPr="00E156D2" w:rsidRDefault="00BF0F9F" w:rsidP="00322EFB">
            <w:pPr>
              <w:spacing w:after="0"/>
              <w:rPr>
                <w:rFonts w:eastAsiaTheme="minorHAnsi"/>
                <w:sz w:val="20"/>
                <w:szCs w:val="20"/>
              </w:rPr>
            </w:pPr>
            <w:r w:rsidRPr="00E156D2">
              <w:rPr>
                <w:rFonts w:eastAsiaTheme="minorHAnsi"/>
                <w:sz w:val="20"/>
                <w:szCs w:val="20"/>
              </w:rPr>
              <w:t xml:space="preserve"> </w:t>
            </w:r>
          </w:p>
        </w:tc>
        <w:tc>
          <w:tcPr>
            <w:tcW w:w="0" w:type="auto"/>
          </w:tcPr>
          <w:p w:rsidR="00BF0F9F" w:rsidRPr="00E156D2" w:rsidRDefault="00BF0F9F" w:rsidP="00322EFB">
            <w:pPr>
              <w:spacing w:after="0"/>
              <w:rPr>
                <w:rFonts w:eastAsiaTheme="minorHAnsi"/>
                <w:sz w:val="20"/>
                <w:szCs w:val="20"/>
              </w:rPr>
            </w:pPr>
            <w:r w:rsidRPr="00E156D2">
              <w:rPr>
                <w:rFonts w:eastAsiaTheme="minorHAnsi"/>
                <w:sz w:val="20"/>
                <w:szCs w:val="20"/>
              </w:rPr>
              <w:t>Downstream Prescriptive</w:t>
            </w:r>
          </w:p>
        </w:tc>
        <w:tc>
          <w:tcPr>
            <w:tcW w:w="0" w:type="auto"/>
          </w:tcPr>
          <w:p w:rsidR="00BF0F9F" w:rsidRPr="00E156D2" w:rsidRDefault="00BF0F9F" w:rsidP="00322EFB">
            <w:pPr>
              <w:spacing w:after="0"/>
              <w:rPr>
                <w:rFonts w:eastAsiaTheme="minorHAnsi"/>
                <w:sz w:val="20"/>
                <w:szCs w:val="20"/>
              </w:rPr>
            </w:pPr>
            <w:r w:rsidRPr="00E156D2">
              <w:rPr>
                <w:rFonts w:eastAsiaTheme="minorHAnsi"/>
                <w:sz w:val="20"/>
                <w:szCs w:val="20"/>
              </w:rPr>
              <w:t>Agricultural greenhouse</w:t>
            </w:r>
          </w:p>
        </w:tc>
        <w:tc>
          <w:tcPr>
            <w:tcW w:w="0" w:type="auto"/>
          </w:tcPr>
          <w:p w:rsidR="00BF0F9F" w:rsidRPr="00E156D2" w:rsidRDefault="00BF0F9F" w:rsidP="00EF45A4">
            <w:pPr>
              <w:spacing w:after="0"/>
              <w:jc w:val="center"/>
              <w:rPr>
                <w:rFonts w:eastAsiaTheme="minorHAnsi"/>
                <w:sz w:val="20"/>
                <w:szCs w:val="20"/>
              </w:rPr>
            </w:pPr>
            <w:r w:rsidRPr="00E156D2">
              <w:rPr>
                <w:rFonts w:eastAsiaTheme="minorHAnsi"/>
                <w:sz w:val="20"/>
                <w:szCs w:val="20"/>
              </w:rPr>
              <w:t>SW</w:t>
            </w:r>
          </w:p>
        </w:tc>
        <w:tc>
          <w:tcPr>
            <w:tcW w:w="0" w:type="auto"/>
          </w:tcPr>
          <w:p w:rsidR="00BF0F9F" w:rsidRPr="00E156D2" w:rsidRDefault="00BF0F9F" w:rsidP="00EF45A4">
            <w:pPr>
              <w:spacing w:after="0"/>
              <w:jc w:val="center"/>
              <w:rPr>
                <w:sz w:val="20"/>
                <w:szCs w:val="20"/>
              </w:rPr>
            </w:pPr>
            <w:r w:rsidRPr="00E156D2">
              <w:rPr>
                <w:sz w:val="20"/>
                <w:szCs w:val="20"/>
              </w:rPr>
              <w:t>0.46</w:t>
            </w:r>
          </w:p>
        </w:tc>
      </w:tr>
      <w:tr w:rsidR="00BF0F9F" w:rsidTr="00DE3651">
        <w:trPr>
          <w:cantSplit/>
        </w:trPr>
        <w:tc>
          <w:tcPr>
            <w:tcW w:w="0" w:type="auto"/>
          </w:tcPr>
          <w:p w:rsidR="00BF0F9F" w:rsidRPr="00E156D2" w:rsidRDefault="00BF0F9F" w:rsidP="00322EFB">
            <w:pPr>
              <w:spacing w:after="0"/>
              <w:rPr>
                <w:sz w:val="20"/>
                <w:szCs w:val="20"/>
              </w:rPr>
            </w:pPr>
            <w:r>
              <w:rPr>
                <w:sz w:val="20"/>
                <w:szCs w:val="20"/>
              </w:rPr>
              <w:t>kWh, kW and therms</w:t>
            </w:r>
          </w:p>
        </w:tc>
        <w:tc>
          <w:tcPr>
            <w:tcW w:w="0" w:type="auto"/>
          </w:tcPr>
          <w:p w:rsidR="00BF0F9F" w:rsidRPr="00E156D2" w:rsidRDefault="00BF0F9F" w:rsidP="00322EFB">
            <w:pPr>
              <w:spacing w:after="0"/>
              <w:rPr>
                <w:rFonts w:eastAsiaTheme="minorHAnsi"/>
                <w:sz w:val="20"/>
                <w:szCs w:val="20"/>
              </w:rPr>
            </w:pPr>
          </w:p>
        </w:tc>
        <w:tc>
          <w:tcPr>
            <w:tcW w:w="0" w:type="auto"/>
          </w:tcPr>
          <w:p w:rsidR="00BF0F9F" w:rsidRPr="00E156D2" w:rsidRDefault="00BF0F9F" w:rsidP="00322EFB">
            <w:pPr>
              <w:spacing w:after="0"/>
              <w:rPr>
                <w:rFonts w:eastAsiaTheme="minorHAnsi"/>
                <w:sz w:val="20"/>
                <w:szCs w:val="20"/>
              </w:rPr>
            </w:pPr>
            <w:r w:rsidRPr="00FD741F">
              <w:rPr>
                <w:rFonts w:eastAsiaTheme="minorHAnsi"/>
                <w:sz w:val="20"/>
                <w:szCs w:val="20"/>
              </w:rPr>
              <w:t>Downstream</w:t>
            </w:r>
            <w:r>
              <w:rPr>
                <w:rFonts w:eastAsiaTheme="minorHAnsi"/>
                <w:sz w:val="20"/>
                <w:szCs w:val="20"/>
              </w:rPr>
              <w:t>, Custom</w:t>
            </w:r>
          </w:p>
        </w:tc>
        <w:tc>
          <w:tcPr>
            <w:tcW w:w="0" w:type="auto"/>
            <w:vAlign w:val="bottom"/>
          </w:tcPr>
          <w:p w:rsidR="00BF0F9F" w:rsidRDefault="00BF0F9F" w:rsidP="00322EFB">
            <w:pPr>
              <w:spacing w:after="0"/>
              <w:rPr>
                <w:rFonts w:eastAsiaTheme="minorHAnsi"/>
                <w:sz w:val="20"/>
                <w:szCs w:val="20"/>
              </w:rPr>
            </w:pPr>
            <w:r>
              <w:rPr>
                <w:rFonts w:eastAsiaTheme="minorHAnsi"/>
                <w:sz w:val="20"/>
                <w:szCs w:val="20"/>
              </w:rPr>
              <w:t xml:space="preserve">Agricultural </w:t>
            </w:r>
          </w:p>
        </w:tc>
        <w:tc>
          <w:tcPr>
            <w:tcW w:w="0" w:type="auto"/>
          </w:tcPr>
          <w:p w:rsidR="00BF0F9F" w:rsidRPr="00E156D2" w:rsidRDefault="00BF0F9F" w:rsidP="00EF45A4">
            <w:pPr>
              <w:spacing w:after="0"/>
              <w:jc w:val="center"/>
              <w:rPr>
                <w:rFonts w:eastAsiaTheme="minorHAnsi"/>
                <w:sz w:val="20"/>
                <w:szCs w:val="20"/>
              </w:rPr>
            </w:pPr>
            <w:r w:rsidRPr="00E156D2">
              <w:rPr>
                <w:rFonts w:eastAsiaTheme="minorHAnsi"/>
                <w:sz w:val="20"/>
                <w:szCs w:val="20"/>
              </w:rPr>
              <w:t>SW</w:t>
            </w:r>
          </w:p>
        </w:tc>
        <w:tc>
          <w:tcPr>
            <w:tcW w:w="0" w:type="auto"/>
          </w:tcPr>
          <w:p w:rsidR="00BF0F9F" w:rsidRPr="00E156D2" w:rsidRDefault="00BF0F9F" w:rsidP="00EF45A4">
            <w:pPr>
              <w:spacing w:after="0"/>
              <w:jc w:val="center"/>
              <w:rPr>
                <w:sz w:val="20"/>
                <w:szCs w:val="20"/>
              </w:rPr>
            </w:pPr>
            <w:r>
              <w:rPr>
                <w:sz w:val="20"/>
                <w:szCs w:val="20"/>
              </w:rPr>
              <w:t>0.70</w:t>
            </w:r>
          </w:p>
        </w:tc>
      </w:tr>
    </w:tbl>
    <w:bookmarkEnd w:id="8"/>
    <w:p w:rsidR="001A749A" w:rsidRPr="0050194C" w:rsidRDefault="001A749A" w:rsidP="00077A05">
      <w:pPr>
        <w:pStyle w:val="Heading2"/>
      </w:pPr>
      <w:r>
        <w:t xml:space="preserve"> Factors </w:t>
      </w:r>
      <w:r w:rsidR="00EF45A4">
        <w:t xml:space="preserve">Likely </w:t>
      </w:r>
      <w:r>
        <w:t xml:space="preserve">to </w:t>
      </w:r>
      <w:r w:rsidR="00EF45A4">
        <w:t xml:space="preserve">Lead </w:t>
      </w:r>
      <w:r>
        <w:t xml:space="preserve">to </w:t>
      </w:r>
      <w:r w:rsidR="00EF45A4">
        <w:t xml:space="preserve">Changes </w:t>
      </w:r>
      <w:r>
        <w:t xml:space="preserve">in NTGR </w:t>
      </w:r>
      <w:proofErr w:type="gramStart"/>
      <w:r w:rsidR="00EF45A4">
        <w:t>Over</w:t>
      </w:r>
      <w:proofErr w:type="gramEnd"/>
      <w:r w:rsidR="00EF45A4">
        <w:t xml:space="preserve"> Next Three Years</w:t>
      </w:r>
    </w:p>
    <w:p w:rsidR="00F5676A" w:rsidRPr="00DC7400" w:rsidRDefault="00F5676A" w:rsidP="00F5676A">
      <w:pPr>
        <w:rPr>
          <w:rFonts w:eastAsiaTheme="minorHAnsi"/>
        </w:rPr>
      </w:pPr>
      <w:r w:rsidRPr="00DC7400">
        <w:rPr>
          <w:rFonts w:eastAsiaTheme="minorHAnsi"/>
        </w:rPr>
        <w:t>The DEER team reviewed the t</w:t>
      </w:r>
      <w:r>
        <w:rPr>
          <w:rFonts w:eastAsiaTheme="minorHAnsi"/>
        </w:rPr>
        <w:t>hree</w:t>
      </w:r>
      <w:r w:rsidRPr="00DC7400">
        <w:rPr>
          <w:rFonts w:eastAsiaTheme="minorHAnsi"/>
        </w:rPr>
        <w:t xml:space="preserve"> most recent NTGR evaluations and the overall literature to identify key factors likely to lead to changes in NTGR over time for the </w:t>
      </w:r>
      <w:r>
        <w:rPr>
          <w:rFonts w:eastAsiaTheme="minorHAnsi"/>
        </w:rPr>
        <w:t xml:space="preserve">two Agricultural and </w:t>
      </w:r>
      <w:r w:rsidR="00383775">
        <w:rPr>
          <w:rFonts w:eastAsiaTheme="minorHAnsi"/>
        </w:rPr>
        <w:t xml:space="preserve">four </w:t>
      </w:r>
      <w:r>
        <w:rPr>
          <w:rFonts w:eastAsiaTheme="minorHAnsi"/>
        </w:rPr>
        <w:t xml:space="preserve">Industrial measure programs.  </w:t>
      </w:r>
    </w:p>
    <w:p w:rsidR="00322EFB" w:rsidRPr="00DC7400" w:rsidRDefault="00322EFB" w:rsidP="00322EFB">
      <w:pPr>
        <w:pStyle w:val="ListParagraph"/>
        <w:numPr>
          <w:ilvl w:val="0"/>
          <w:numId w:val="15"/>
        </w:numPr>
        <w:spacing w:after="120" w:line="240" w:lineRule="auto"/>
        <w:jc w:val="left"/>
        <w:rPr>
          <w:rFonts w:eastAsiaTheme="minorHAnsi"/>
        </w:rPr>
      </w:pPr>
      <w:r w:rsidRPr="00DC7400">
        <w:rPr>
          <w:rFonts w:eastAsiaTheme="minorHAnsi"/>
        </w:rPr>
        <w:t xml:space="preserve">Changes in qualifying and rebate levels for measures that </w:t>
      </w:r>
      <w:r>
        <w:rPr>
          <w:rFonts w:eastAsiaTheme="minorHAnsi"/>
        </w:rPr>
        <w:t xml:space="preserve">have an effect on </w:t>
      </w:r>
      <w:r w:rsidRPr="00DC7400">
        <w:rPr>
          <w:rFonts w:eastAsiaTheme="minorHAnsi"/>
        </w:rPr>
        <w:t>payback periods</w:t>
      </w:r>
    </w:p>
    <w:p w:rsidR="00915976" w:rsidRDefault="00F5676A" w:rsidP="00EF45A4">
      <w:pPr>
        <w:pStyle w:val="ListParagraph"/>
        <w:numPr>
          <w:ilvl w:val="0"/>
          <w:numId w:val="21"/>
        </w:numPr>
        <w:spacing w:after="0" w:line="240" w:lineRule="auto"/>
        <w:jc w:val="left"/>
        <w:rPr>
          <w:rFonts w:eastAsiaTheme="minorHAnsi"/>
        </w:rPr>
      </w:pPr>
      <w:r>
        <w:rPr>
          <w:rFonts w:eastAsiaTheme="minorHAnsi"/>
        </w:rPr>
        <w:t>Changes in Program d</w:t>
      </w:r>
      <w:r w:rsidRPr="00DC7400">
        <w:rPr>
          <w:rFonts w:eastAsiaTheme="minorHAnsi"/>
        </w:rPr>
        <w:t xml:space="preserve">esign </w:t>
      </w:r>
      <w:r>
        <w:rPr>
          <w:rFonts w:eastAsiaTheme="minorHAnsi"/>
        </w:rPr>
        <w:t xml:space="preserve">and </w:t>
      </w:r>
      <w:r w:rsidRPr="00DC7400">
        <w:rPr>
          <w:rFonts w:eastAsiaTheme="minorHAnsi"/>
        </w:rPr>
        <w:t xml:space="preserve">delivery as it pertains to vendors </w:t>
      </w:r>
    </w:p>
    <w:p w:rsidR="00322EFB" w:rsidRDefault="00322EFB" w:rsidP="00EF45A4">
      <w:pPr>
        <w:pStyle w:val="ListParagraph"/>
        <w:numPr>
          <w:ilvl w:val="1"/>
          <w:numId w:val="22"/>
        </w:numPr>
        <w:spacing w:after="0" w:line="240" w:lineRule="auto"/>
        <w:jc w:val="left"/>
        <w:rPr>
          <w:rFonts w:eastAsiaTheme="minorHAnsi"/>
        </w:rPr>
      </w:pPr>
      <w:r>
        <w:rPr>
          <w:rFonts w:eastAsiaTheme="minorHAnsi"/>
        </w:rPr>
        <w:t xml:space="preserve">e.g., </w:t>
      </w:r>
      <w:r w:rsidRPr="00DC7400">
        <w:rPr>
          <w:rFonts w:eastAsiaTheme="minorHAnsi"/>
        </w:rPr>
        <w:t xml:space="preserve">the installation of </w:t>
      </w:r>
      <w:r>
        <w:rPr>
          <w:rFonts w:eastAsiaTheme="minorHAnsi"/>
        </w:rPr>
        <w:t>commerc</w:t>
      </w:r>
      <w:r w:rsidRPr="00DC7400">
        <w:rPr>
          <w:rFonts w:eastAsiaTheme="minorHAnsi"/>
        </w:rPr>
        <w:t>ial steam traps involves a more sophisticated approach to program delivery</w:t>
      </w:r>
      <w:r>
        <w:rPr>
          <w:rFonts w:eastAsiaTheme="minorHAnsi"/>
        </w:rPr>
        <w:t xml:space="preserve"> and setting of rebate levels</w:t>
      </w:r>
      <w:r w:rsidRPr="00DC7400">
        <w:rPr>
          <w:rFonts w:eastAsiaTheme="minorHAnsi"/>
        </w:rPr>
        <w:t>.</w:t>
      </w:r>
    </w:p>
    <w:p w:rsidR="00915976" w:rsidRDefault="00D06F36" w:rsidP="00322EFB">
      <w:pPr>
        <w:pStyle w:val="ListParagraph"/>
        <w:numPr>
          <w:ilvl w:val="0"/>
          <w:numId w:val="18"/>
        </w:numPr>
        <w:spacing w:after="0" w:line="240" w:lineRule="auto"/>
        <w:jc w:val="left"/>
        <w:rPr>
          <w:rFonts w:eastAsiaTheme="minorHAnsi"/>
        </w:rPr>
      </w:pPr>
      <w:r>
        <w:rPr>
          <w:rFonts w:eastAsiaTheme="minorHAnsi"/>
        </w:rPr>
        <w:t xml:space="preserve">Changes in </w:t>
      </w:r>
      <w:r w:rsidR="00E76A91">
        <w:rPr>
          <w:rFonts w:eastAsiaTheme="minorHAnsi"/>
        </w:rPr>
        <w:t>industry standard practice</w:t>
      </w:r>
    </w:p>
    <w:p w:rsidR="00B21CFB" w:rsidRDefault="00863E7F" w:rsidP="00322EFB">
      <w:pPr>
        <w:pStyle w:val="ListParagraph"/>
        <w:numPr>
          <w:ilvl w:val="1"/>
          <w:numId w:val="19"/>
        </w:numPr>
        <w:spacing w:after="120"/>
        <w:jc w:val="left"/>
        <w:rPr>
          <w:rFonts w:eastAsiaTheme="minorHAnsi"/>
        </w:rPr>
      </w:pPr>
      <w:r>
        <w:rPr>
          <w:rFonts w:eastAsiaTheme="minorHAnsi"/>
        </w:rPr>
        <w:t>e</w:t>
      </w:r>
      <w:r w:rsidR="00915976">
        <w:rPr>
          <w:rFonts w:eastAsiaTheme="minorHAnsi"/>
        </w:rPr>
        <w:t>.g., for particular measures suspected of becoming standard practice such as pump-off controllers</w:t>
      </w:r>
      <w:r>
        <w:rPr>
          <w:rFonts w:eastAsiaTheme="minorHAnsi"/>
        </w:rPr>
        <w:t xml:space="preserve"> and</w:t>
      </w:r>
      <w:r w:rsidR="00915976">
        <w:rPr>
          <w:rFonts w:eastAsiaTheme="minorHAnsi"/>
        </w:rPr>
        <w:t xml:space="preserve"> injection molding machines</w:t>
      </w:r>
    </w:p>
    <w:p w:rsidR="00F5676A" w:rsidRDefault="00E76A91" w:rsidP="00322EFB">
      <w:pPr>
        <w:pStyle w:val="ListParagraph"/>
        <w:numPr>
          <w:ilvl w:val="0"/>
          <w:numId w:val="20"/>
        </w:numPr>
        <w:spacing w:after="0" w:line="240" w:lineRule="auto"/>
        <w:jc w:val="left"/>
        <w:rPr>
          <w:rFonts w:eastAsiaTheme="minorHAnsi"/>
        </w:rPr>
      </w:pPr>
      <w:r>
        <w:rPr>
          <w:rFonts w:eastAsiaTheme="minorHAnsi"/>
        </w:rPr>
        <w:t>Non-energy factors (e.g., regulatory mandates)</w:t>
      </w:r>
    </w:p>
    <w:p w:rsidR="00B21CFB" w:rsidRDefault="00863E7F" w:rsidP="00322EFB">
      <w:pPr>
        <w:pStyle w:val="ListParagraph"/>
        <w:numPr>
          <w:ilvl w:val="1"/>
          <w:numId w:val="20"/>
        </w:numPr>
        <w:spacing w:after="120"/>
        <w:jc w:val="left"/>
        <w:rPr>
          <w:rFonts w:eastAsiaTheme="minorHAnsi"/>
        </w:rPr>
      </w:pPr>
      <w:r>
        <w:rPr>
          <w:rFonts w:eastAsiaTheme="minorHAnsi"/>
        </w:rPr>
        <w:t xml:space="preserve">e.g., </w:t>
      </w:r>
      <w:r w:rsidR="00915976">
        <w:rPr>
          <w:rFonts w:eastAsiaTheme="minorHAnsi"/>
        </w:rPr>
        <w:t>As applicable to projects involving pollution control equipment</w:t>
      </w:r>
    </w:p>
    <w:p w:rsidR="00F5676A" w:rsidRPr="005B6337" w:rsidRDefault="00F8041D" w:rsidP="00322EFB">
      <w:pPr>
        <w:pStyle w:val="ListParagraph"/>
        <w:numPr>
          <w:ilvl w:val="0"/>
          <w:numId w:val="20"/>
        </w:numPr>
        <w:spacing w:after="280"/>
        <w:jc w:val="left"/>
        <w:rPr>
          <w:rFonts w:eastAsiaTheme="minorHAnsi"/>
        </w:rPr>
      </w:pPr>
      <w:r>
        <w:rPr>
          <w:rFonts w:eastAsiaTheme="minorHAnsi"/>
        </w:rPr>
        <w:t xml:space="preserve">Business trends in the </w:t>
      </w:r>
      <w:r w:rsidR="00863E7F">
        <w:rPr>
          <w:rFonts w:eastAsiaTheme="minorHAnsi"/>
        </w:rPr>
        <w:t>v</w:t>
      </w:r>
      <w:r>
        <w:rPr>
          <w:rFonts w:eastAsiaTheme="minorHAnsi"/>
        </w:rPr>
        <w:t>endor/</w:t>
      </w:r>
      <w:r w:rsidR="00863E7F">
        <w:rPr>
          <w:rFonts w:eastAsiaTheme="minorHAnsi"/>
        </w:rPr>
        <w:t>c</w:t>
      </w:r>
      <w:r>
        <w:rPr>
          <w:rFonts w:eastAsiaTheme="minorHAnsi"/>
        </w:rPr>
        <w:t xml:space="preserve">ontractor program volume. </w:t>
      </w:r>
    </w:p>
    <w:p w:rsidR="005D5C68" w:rsidRPr="00322EFB" w:rsidRDefault="00504CD6" w:rsidP="00077A05">
      <w:pPr>
        <w:pStyle w:val="Heading2"/>
      </w:pPr>
      <w:r w:rsidRPr="00322EFB">
        <w:lastRenderedPageBreak/>
        <w:t xml:space="preserve">Assessment of Current Data </w:t>
      </w:r>
      <w:r w:rsidR="001A749A" w:rsidRPr="00322EFB">
        <w:t xml:space="preserve">and Tools Available </w:t>
      </w:r>
      <w:r w:rsidR="00295575" w:rsidRPr="00322EFB">
        <w:t>to Prepare a Forecast of</w:t>
      </w:r>
      <w:r w:rsidR="001A749A" w:rsidRPr="00322EFB">
        <w:t xml:space="preserve"> NTGR </w:t>
      </w:r>
      <w:r w:rsidR="00295575" w:rsidRPr="00322EFB">
        <w:t>Values</w:t>
      </w:r>
    </w:p>
    <w:p w:rsidR="00742AD6" w:rsidRDefault="009E150B" w:rsidP="00D064A7">
      <w:pPr>
        <w:rPr>
          <w:rFonts w:eastAsiaTheme="minorHAnsi"/>
        </w:rPr>
      </w:pPr>
      <w:r>
        <w:rPr>
          <w:rFonts w:eastAsiaTheme="minorHAnsi"/>
        </w:rPr>
        <w:t>The most recent</w:t>
      </w:r>
      <w:r w:rsidRPr="00E156D2">
        <w:rPr>
          <w:rFonts w:eastAsiaTheme="minorHAnsi"/>
        </w:rPr>
        <w:t xml:space="preserve"> study </w:t>
      </w:r>
      <w:r w:rsidR="00295575">
        <w:rPr>
          <w:rFonts w:eastAsiaTheme="minorHAnsi"/>
        </w:rPr>
        <w:t>and</w:t>
      </w:r>
      <w:r w:rsidR="00295575" w:rsidRPr="00E156D2">
        <w:rPr>
          <w:rFonts w:eastAsiaTheme="minorHAnsi"/>
        </w:rPr>
        <w:t xml:space="preserve"> </w:t>
      </w:r>
      <w:r w:rsidRPr="00E156D2">
        <w:rPr>
          <w:rFonts w:eastAsiaTheme="minorHAnsi"/>
        </w:rPr>
        <w:t xml:space="preserve">previous evaluations of </w:t>
      </w:r>
      <w:r w:rsidR="00295575">
        <w:rPr>
          <w:rFonts w:eastAsiaTheme="minorHAnsi"/>
        </w:rPr>
        <w:t xml:space="preserve">the </w:t>
      </w:r>
      <w:r w:rsidRPr="00E156D2">
        <w:rPr>
          <w:rFonts w:eastAsiaTheme="minorHAnsi"/>
        </w:rPr>
        <w:t>SPC and industrial programs</w:t>
      </w:r>
      <w:r>
        <w:rPr>
          <w:rFonts w:eastAsiaTheme="minorHAnsi"/>
        </w:rPr>
        <w:t xml:space="preserve"> not only </w:t>
      </w:r>
      <w:r w:rsidR="00F24371">
        <w:rPr>
          <w:rFonts w:eastAsiaTheme="minorHAnsi"/>
        </w:rPr>
        <w:t>have derived similar NTGRs over the past several years</w:t>
      </w:r>
      <w:r>
        <w:rPr>
          <w:rFonts w:eastAsiaTheme="minorHAnsi"/>
        </w:rPr>
        <w:t>, but</w:t>
      </w:r>
      <w:r w:rsidRPr="00E156D2">
        <w:rPr>
          <w:rFonts w:eastAsiaTheme="minorHAnsi"/>
        </w:rPr>
        <w:t xml:space="preserve"> have </w:t>
      </w:r>
      <w:r>
        <w:rPr>
          <w:rFonts w:eastAsiaTheme="minorHAnsi"/>
        </w:rPr>
        <w:t xml:space="preserve">consistently </w:t>
      </w:r>
      <w:r w:rsidRPr="00E156D2">
        <w:rPr>
          <w:rFonts w:eastAsiaTheme="minorHAnsi"/>
        </w:rPr>
        <w:t xml:space="preserve">raised concerns regarding the relatively high levels of </w:t>
      </w:r>
      <w:r>
        <w:rPr>
          <w:rFonts w:eastAsiaTheme="minorHAnsi"/>
        </w:rPr>
        <w:t>free</w:t>
      </w:r>
      <w:r w:rsidR="00295575">
        <w:rPr>
          <w:rFonts w:eastAsiaTheme="minorHAnsi"/>
        </w:rPr>
        <w:t>-</w:t>
      </w:r>
      <w:r>
        <w:rPr>
          <w:rFonts w:eastAsiaTheme="minorHAnsi"/>
        </w:rPr>
        <w:t>ridership among customers who installed the four industrial measures</w:t>
      </w:r>
      <w:r w:rsidR="004470C0">
        <w:rPr>
          <w:rFonts w:eastAsiaTheme="minorHAnsi"/>
        </w:rPr>
        <w:t>. These evaluations</w:t>
      </w:r>
      <w:r w:rsidRPr="00E156D2">
        <w:rPr>
          <w:rFonts w:eastAsiaTheme="minorHAnsi"/>
        </w:rPr>
        <w:t xml:space="preserve"> </w:t>
      </w:r>
      <w:r>
        <w:rPr>
          <w:rFonts w:eastAsiaTheme="minorHAnsi"/>
        </w:rPr>
        <w:t>have</w:t>
      </w:r>
      <w:r w:rsidR="004470C0">
        <w:rPr>
          <w:rFonts w:eastAsiaTheme="minorHAnsi"/>
        </w:rPr>
        <w:t xml:space="preserve"> also</w:t>
      </w:r>
      <w:r w:rsidRPr="00E156D2">
        <w:rPr>
          <w:rFonts w:eastAsiaTheme="minorHAnsi"/>
        </w:rPr>
        <w:t xml:space="preserve"> recommend</w:t>
      </w:r>
      <w:r w:rsidR="00FD0772">
        <w:rPr>
          <w:rFonts w:eastAsiaTheme="minorHAnsi"/>
        </w:rPr>
        <w:t xml:space="preserve">ed changes in program design to </w:t>
      </w:r>
      <w:r>
        <w:rPr>
          <w:rFonts w:eastAsiaTheme="minorHAnsi"/>
        </w:rPr>
        <w:t>reduc</w:t>
      </w:r>
      <w:r w:rsidR="00FD0772">
        <w:rPr>
          <w:rFonts w:eastAsiaTheme="minorHAnsi"/>
        </w:rPr>
        <w:t>e</w:t>
      </w:r>
      <w:r>
        <w:rPr>
          <w:rFonts w:eastAsiaTheme="minorHAnsi"/>
        </w:rPr>
        <w:t xml:space="preserve"> </w:t>
      </w:r>
      <w:r w:rsidRPr="00F24371">
        <w:rPr>
          <w:rFonts w:eastAsiaTheme="minorHAnsi"/>
        </w:rPr>
        <w:t>these high free –ridership levels.</w:t>
      </w:r>
      <w:r w:rsidR="00FD0772" w:rsidRPr="00F24371">
        <w:rPr>
          <w:rFonts w:eastAsiaTheme="minorHAnsi"/>
        </w:rPr>
        <w:t xml:space="preserve"> </w:t>
      </w:r>
      <w:r w:rsidR="00863E7F">
        <w:rPr>
          <w:rFonts w:eastAsiaTheme="minorHAnsi"/>
        </w:rPr>
        <w:t>Following the PY2004-2005 evaluation,</w:t>
      </w:r>
      <w:r w:rsidR="00FD0772" w:rsidRPr="00F24371">
        <w:rPr>
          <w:rFonts w:eastAsiaTheme="minorHAnsi"/>
        </w:rPr>
        <w:t xml:space="preserve"> these recommendations </w:t>
      </w:r>
      <w:r w:rsidR="00863E7F">
        <w:rPr>
          <w:rFonts w:eastAsiaTheme="minorHAnsi"/>
        </w:rPr>
        <w:t>were</w:t>
      </w:r>
      <w:r w:rsidR="00863E7F" w:rsidRPr="00F24371">
        <w:rPr>
          <w:rFonts w:eastAsiaTheme="minorHAnsi"/>
        </w:rPr>
        <w:t xml:space="preserve"> </w:t>
      </w:r>
      <w:r w:rsidR="00FD0772" w:rsidRPr="00F24371">
        <w:rPr>
          <w:rFonts w:eastAsiaTheme="minorHAnsi"/>
        </w:rPr>
        <w:t>not implemented</w:t>
      </w:r>
      <w:r w:rsidR="00863E7F">
        <w:rPr>
          <w:rFonts w:eastAsiaTheme="minorHAnsi"/>
        </w:rPr>
        <w:t xml:space="preserve"> and it is unclear the extent to which they have been implemented in this program cycle</w:t>
      </w:r>
      <w:r w:rsidR="00786C11">
        <w:rPr>
          <w:rFonts w:eastAsiaTheme="minorHAnsi"/>
        </w:rPr>
        <w:t xml:space="preserve">.  In addition, </w:t>
      </w:r>
      <w:r w:rsidR="00915976">
        <w:rPr>
          <w:rFonts w:eastAsiaTheme="minorHAnsi"/>
        </w:rPr>
        <w:t>t</w:t>
      </w:r>
      <w:r w:rsidR="00786C11">
        <w:t xml:space="preserve">he only difference in rebate levels </w:t>
      </w:r>
      <w:r w:rsidR="00FB47D7">
        <w:t xml:space="preserve">has been </w:t>
      </w:r>
      <w:r w:rsidR="00786C11">
        <w:t xml:space="preserve">the addition of </w:t>
      </w:r>
      <w:r w:rsidR="00FB47D7">
        <w:t>a per-</w:t>
      </w:r>
      <w:r w:rsidR="00786C11">
        <w:t xml:space="preserve">kW incentive on top of the traditional </w:t>
      </w:r>
      <w:r w:rsidR="00FB47D7">
        <w:t>per-</w:t>
      </w:r>
      <w:r w:rsidR="00786C11">
        <w:t xml:space="preserve">kWh incentive. </w:t>
      </w:r>
      <w:r w:rsidR="00786C11">
        <w:rPr>
          <w:rFonts w:eastAsiaTheme="minorHAnsi"/>
        </w:rPr>
        <w:t xml:space="preserve"> </w:t>
      </w:r>
      <w:r w:rsidR="00D51ADE">
        <w:rPr>
          <w:rFonts w:eastAsiaTheme="minorHAnsi"/>
        </w:rPr>
        <w:t xml:space="preserve">However, </w:t>
      </w:r>
      <w:r w:rsidR="00786C11">
        <w:rPr>
          <w:rFonts w:eastAsiaTheme="minorHAnsi"/>
        </w:rPr>
        <w:t xml:space="preserve">this was </w:t>
      </w:r>
      <w:r w:rsidR="00FB47D7">
        <w:rPr>
          <w:rFonts w:eastAsiaTheme="minorHAnsi"/>
        </w:rPr>
        <w:t xml:space="preserve">largely </w:t>
      </w:r>
      <w:r w:rsidR="00786C11">
        <w:rPr>
          <w:rFonts w:eastAsiaTheme="minorHAnsi"/>
        </w:rPr>
        <w:t xml:space="preserve">done </w:t>
      </w:r>
      <w:r w:rsidR="00FB47D7">
        <w:rPr>
          <w:rFonts w:eastAsiaTheme="minorHAnsi"/>
        </w:rPr>
        <w:t>to help meet</w:t>
      </w:r>
      <w:r w:rsidR="00742AD6">
        <w:rPr>
          <w:rFonts w:eastAsiaTheme="minorHAnsi"/>
        </w:rPr>
        <w:t xml:space="preserve"> kW goals</w:t>
      </w:r>
      <w:r w:rsidR="00FB47D7">
        <w:rPr>
          <w:rFonts w:eastAsiaTheme="minorHAnsi"/>
        </w:rPr>
        <w:t>,</w:t>
      </w:r>
      <w:r w:rsidR="00742AD6">
        <w:rPr>
          <w:rFonts w:eastAsiaTheme="minorHAnsi"/>
        </w:rPr>
        <w:t xml:space="preserve"> </w:t>
      </w:r>
      <w:r w:rsidR="00FB47D7">
        <w:rPr>
          <w:rFonts w:eastAsiaTheme="minorHAnsi"/>
        </w:rPr>
        <w:t>not to cut back on free ridership.</w:t>
      </w:r>
      <w:r w:rsidR="00742AD6">
        <w:rPr>
          <w:rFonts w:eastAsiaTheme="minorHAnsi"/>
        </w:rPr>
        <w:t xml:space="preserve">  On the other hand, </w:t>
      </w:r>
      <w:r w:rsidR="00D51ADE">
        <w:rPr>
          <w:rFonts w:eastAsiaTheme="minorHAnsi"/>
        </w:rPr>
        <w:t xml:space="preserve">for pump-off controller measures, the IOUs did in fact suspend rebates on POCs for new well applications starting in 2009 based on the </w:t>
      </w:r>
      <w:r w:rsidR="00863E7F">
        <w:rPr>
          <w:rFonts w:eastAsiaTheme="minorHAnsi"/>
        </w:rPr>
        <w:t xml:space="preserve">2006-2008 </w:t>
      </w:r>
      <w:r w:rsidR="00D51ADE">
        <w:rPr>
          <w:rFonts w:eastAsiaTheme="minorHAnsi"/>
        </w:rPr>
        <w:t xml:space="preserve">Early Feedback Memo.  </w:t>
      </w:r>
    </w:p>
    <w:p w:rsidR="00742AD6" w:rsidRDefault="00742AD6" w:rsidP="00D064A7">
      <w:pPr>
        <w:rPr>
          <w:rFonts w:eastAsiaTheme="minorHAnsi"/>
        </w:rPr>
      </w:pPr>
      <w:r>
        <w:t xml:space="preserve">The trends in NTGRs have been relatively flat over the past several </w:t>
      </w:r>
      <w:r w:rsidR="00FB47D7">
        <w:t>evaluation cycles</w:t>
      </w:r>
      <w:r>
        <w:t xml:space="preserve">. </w:t>
      </w:r>
      <w:r w:rsidRPr="002D0303">
        <w:rPr>
          <w:rFonts w:eastAsiaTheme="minorHAnsi"/>
        </w:rPr>
        <w:t xml:space="preserve">The </w:t>
      </w:r>
      <w:r w:rsidR="00863E7F">
        <w:rPr>
          <w:rFonts w:eastAsiaTheme="minorHAnsi"/>
        </w:rPr>
        <w:t xml:space="preserve">2006-2008 </w:t>
      </w:r>
      <w:r>
        <w:rPr>
          <w:rFonts w:eastAsiaTheme="minorHAnsi"/>
        </w:rPr>
        <w:t xml:space="preserve">Study NTGRs </w:t>
      </w:r>
      <w:r w:rsidRPr="002D0303">
        <w:rPr>
          <w:rFonts w:eastAsiaTheme="minorHAnsi"/>
        </w:rPr>
        <w:t>are virtual</w:t>
      </w:r>
      <w:r>
        <w:rPr>
          <w:rFonts w:eastAsiaTheme="minorHAnsi"/>
        </w:rPr>
        <w:t xml:space="preserve">ly identical to the estimate of </w:t>
      </w:r>
      <w:r w:rsidRPr="002D0303">
        <w:rPr>
          <w:rFonts w:eastAsiaTheme="minorHAnsi"/>
        </w:rPr>
        <w:t>corresponding net-to-gross ratios for the statewide Standar</w:t>
      </w:r>
      <w:r>
        <w:rPr>
          <w:rFonts w:eastAsiaTheme="minorHAnsi"/>
        </w:rPr>
        <w:t xml:space="preserve">d Performance Contracting (SPC) </w:t>
      </w:r>
      <w:r w:rsidRPr="002D0303">
        <w:rPr>
          <w:rFonts w:eastAsiaTheme="minorHAnsi"/>
        </w:rPr>
        <w:t>program in the PY2004-2005 evaluation. In addition, t</w:t>
      </w:r>
      <w:r>
        <w:rPr>
          <w:rFonts w:eastAsiaTheme="minorHAnsi"/>
        </w:rPr>
        <w:t xml:space="preserve">hey are very similar to the NTG </w:t>
      </w:r>
      <w:r w:rsidRPr="002D0303">
        <w:rPr>
          <w:rFonts w:eastAsiaTheme="minorHAnsi"/>
        </w:rPr>
        <w:t xml:space="preserve">estimates made in prior SPC evaluations conducted </w:t>
      </w:r>
      <w:r>
        <w:rPr>
          <w:rFonts w:eastAsiaTheme="minorHAnsi"/>
        </w:rPr>
        <w:t xml:space="preserve">for each program year since the </w:t>
      </w:r>
      <w:r w:rsidRPr="002D0303">
        <w:rPr>
          <w:rFonts w:eastAsiaTheme="minorHAnsi"/>
        </w:rPr>
        <w:t>program’s inception in 1998</w:t>
      </w:r>
      <w:r>
        <w:rPr>
          <w:rFonts w:eastAsiaTheme="minorHAnsi"/>
        </w:rPr>
        <w:t xml:space="preserve">, as shown in </w:t>
      </w:r>
      <w:r w:rsidR="00396490">
        <w:rPr>
          <w:rFonts w:eastAsiaTheme="minorHAnsi"/>
        </w:rPr>
        <w:fldChar w:fldCharType="begin"/>
      </w:r>
      <w:r w:rsidR="00322EFB">
        <w:rPr>
          <w:rFonts w:eastAsiaTheme="minorHAnsi"/>
        </w:rPr>
        <w:instrText xml:space="preserve"> REF _Ref307493872 \h </w:instrText>
      </w:r>
      <w:r w:rsidR="00396490">
        <w:rPr>
          <w:rFonts w:eastAsiaTheme="minorHAnsi"/>
        </w:rPr>
      </w:r>
      <w:r w:rsidR="00396490">
        <w:rPr>
          <w:rFonts w:eastAsiaTheme="minorHAnsi"/>
        </w:rPr>
        <w:fldChar w:fldCharType="separate"/>
      </w:r>
      <w:r w:rsidR="00EF45A4">
        <w:t xml:space="preserve">Table </w:t>
      </w:r>
      <w:r w:rsidR="00EF45A4">
        <w:rPr>
          <w:noProof/>
        </w:rPr>
        <w:t>9</w:t>
      </w:r>
      <w:r w:rsidR="00EF45A4">
        <w:noBreakHyphen/>
      </w:r>
      <w:r w:rsidR="00EF45A4">
        <w:rPr>
          <w:noProof/>
        </w:rPr>
        <w:t>6</w:t>
      </w:r>
      <w:r w:rsidR="00396490">
        <w:rPr>
          <w:rFonts w:eastAsiaTheme="minorHAnsi"/>
        </w:rPr>
        <w:fldChar w:fldCharType="end"/>
      </w:r>
      <w:r w:rsidRPr="002D0303">
        <w:rPr>
          <w:rFonts w:eastAsiaTheme="minorHAnsi"/>
        </w:rPr>
        <w:t>.</w:t>
      </w:r>
      <w:r w:rsidR="00FB47D7">
        <w:rPr>
          <w:rFonts w:eastAsiaTheme="minorHAnsi"/>
        </w:rPr>
        <w:t xml:space="preserve">  This implies it is appropriate to apply current NTGRs in future cycles.</w:t>
      </w:r>
    </w:p>
    <w:p w:rsidR="00052F77" w:rsidRPr="00052F77" w:rsidRDefault="00DC29FF" w:rsidP="00FF4B69">
      <w:pPr>
        <w:pStyle w:val="Caption"/>
      </w:pPr>
      <w:bookmarkStart w:id="9" w:name="_Ref307493872"/>
      <w:r>
        <w:t xml:space="preserve">Table </w:t>
      </w:r>
      <w:r w:rsidR="00F25699">
        <w:fldChar w:fldCharType="begin"/>
      </w:r>
      <w:r w:rsidR="00F25699">
        <w:instrText xml:space="preserve"> STYLEREF 1 \s </w:instrText>
      </w:r>
      <w:r w:rsidR="00F25699">
        <w:fldChar w:fldCharType="separate"/>
      </w:r>
      <w:r w:rsidR="00EF45A4">
        <w:rPr>
          <w:noProof/>
        </w:rPr>
        <w:t>9</w:t>
      </w:r>
      <w:r w:rsidR="00F25699">
        <w:rPr>
          <w:noProof/>
        </w:rPr>
        <w:fldChar w:fldCharType="end"/>
      </w:r>
      <w:r>
        <w:noBreakHyphen/>
      </w:r>
      <w:r w:rsidR="00F25699">
        <w:fldChar w:fldCharType="begin"/>
      </w:r>
      <w:r w:rsidR="00F25699">
        <w:instrText xml:space="preserve"> SEQ Table \* ARABIC \s 1 </w:instrText>
      </w:r>
      <w:r w:rsidR="00F25699">
        <w:fldChar w:fldCharType="separate"/>
      </w:r>
      <w:r w:rsidR="00EF45A4">
        <w:rPr>
          <w:noProof/>
        </w:rPr>
        <w:t>6</w:t>
      </w:r>
      <w:r w:rsidR="00F25699">
        <w:rPr>
          <w:noProof/>
        </w:rPr>
        <w:fldChar w:fldCharType="end"/>
      </w:r>
      <w:bookmarkEnd w:id="9"/>
      <w:r w:rsidR="00052F77">
        <w:t xml:space="preserve">:  </w:t>
      </w:r>
      <w:r w:rsidR="00052F77" w:rsidRPr="00052F77">
        <w:t xml:space="preserve">Statewide </w:t>
      </w:r>
      <w:r w:rsidR="002D0303">
        <w:t xml:space="preserve">Custom Electric Measures </w:t>
      </w:r>
      <w:r w:rsidR="00052F77" w:rsidRPr="00052F77">
        <w:t>Net to Gross Ratios</w:t>
      </w:r>
      <w:r w:rsidR="002D0303">
        <w:t xml:space="preserve"> for the Period </w:t>
      </w:r>
      <w:r w:rsidR="00052F77" w:rsidRPr="00052F77">
        <w:t>1998-200</w:t>
      </w:r>
      <w:r w:rsidR="002D0303">
        <w:t>8</w:t>
      </w:r>
    </w:p>
    <w:tbl>
      <w:tblPr>
        <w:tblStyle w:val="ItronBasic"/>
        <w:tblW w:w="9590" w:type="dxa"/>
        <w:tblCellMar>
          <w:left w:w="115" w:type="dxa"/>
          <w:right w:w="115" w:type="dxa"/>
        </w:tblCellMar>
        <w:tblLook w:val="04A0" w:firstRow="1" w:lastRow="0" w:firstColumn="1" w:lastColumn="0" w:noHBand="0" w:noVBand="1"/>
      </w:tblPr>
      <w:tblGrid>
        <w:gridCol w:w="1327"/>
        <w:gridCol w:w="1208"/>
        <w:gridCol w:w="1044"/>
        <w:gridCol w:w="1003"/>
        <w:gridCol w:w="955"/>
        <w:gridCol w:w="1152"/>
        <w:gridCol w:w="967"/>
        <w:gridCol w:w="967"/>
        <w:gridCol w:w="967"/>
      </w:tblGrid>
      <w:tr w:rsidR="002D0303" w:rsidTr="002D0303">
        <w:trPr>
          <w:cnfStyle w:val="100000000000" w:firstRow="1" w:lastRow="0" w:firstColumn="0" w:lastColumn="0" w:oddVBand="0" w:evenVBand="0" w:oddHBand="0" w:evenHBand="0" w:firstRowFirstColumn="0" w:firstRowLastColumn="0" w:lastRowFirstColumn="0" w:lastRowLastColumn="0"/>
          <w:cantSplit/>
        </w:trPr>
        <w:tc>
          <w:tcPr>
            <w:tcW w:w="1327" w:type="dxa"/>
          </w:tcPr>
          <w:p w:rsidR="002D0303" w:rsidRPr="00E156D2" w:rsidRDefault="002D0303" w:rsidP="00D40897">
            <w:pPr>
              <w:rPr>
                <w:sz w:val="20"/>
                <w:szCs w:val="20"/>
              </w:rPr>
            </w:pPr>
            <w:r>
              <w:rPr>
                <w:sz w:val="20"/>
                <w:szCs w:val="20"/>
              </w:rPr>
              <w:t>(1-FR)</w:t>
            </w:r>
          </w:p>
        </w:tc>
        <w:tc>
          <w:tcPr>
            <w:tcW w:w="1208" w:type="dxa"/>
          </w:tcPr>
          <w:p w:rsidR="002D0303" w:rsidRPr="00E156D2" w:rsidRDefault="002D0303" w:rsidP="00D40897">
            <w:pPr>
              <w:rPr>
                <w:rFonts w:eastAsiaTheme="minorHAnsi"/>
                <w:sz w:val="20"/>
                <w:szCs w:val="20"/>
              </w:rPr>
            </w:pPr>
            <w:r>
              <w:rPr>
                <w:rFonts w:eastAsiaTheme="minorHAnsi"/>
                <w:sz w:val="20"/>
                <w:szCs w:val="20"/>
              </w:rPr>
              <w:t>1998</w:t>
            </w:r>
          </w:p>
        </w:tc>
        <w:tc>
          <w:tcPr>
            <w:tcW w:w="1044" w:type="dxa"/>
          </w:tcPr>
          <w:p w:rsidR="002D0303" w:rsidRPr="00E156D2" w:rsidRDefault="002D0303" w:rsidP="00D40897">
            <w:pPr>
              <w:rPr>
                <w:rFonts w:eastAsiaTheme="minorHAnsi"/>
                <w:sz w:val="20"/>
                <w:szCs w:val="20"/>
              </w:rPr>
            </w:pPr>
            <w:r>
              <w:rPr>
                <w:rFonts w:eastAsiaTheme="minorHAnsi"/>
                <w:sz w:val="20"/>
                <w:szCs w:val="20"/>
              </w:rPr>
              <w:t>1999</w:t>
            </w:r>
          </w:p>
        </w:tc>
        <w:tc>
          <w:tcPr>
            <w:tcW w:w="1003" w:type="dxa"/>
          </w:tcPr>
          <w:p w:rsidR="002D0303" w:rsidRPr="00E156D2" w:rsidRDefault="002D0303" w:rsidP="00D40897">
            <w:pPr>
              <w:rPr>
                <w:rFonts w:eastAsiaTheme="minorHAnsi"/>
                <w:sz w:val="20"/>
                <w:szCs w:val="20"/>
              </w:rPr>
            </w:pPr>
            <w:r>
              <w:rPr>
                <w:rFonts w:eastAsiaTheme="minorHAnsi"/>
                <w:sz w:val="20"/>
                <w:szCs w:val="20"/>
              </w:rPr>
              <w:t>2000</w:t>
            </w:r>
          </w:p>
        </w:tc>
        <w:tc>
          <w:tcPr>
            <w:tcW w:w="955" w:type="dxa"/>
          </w:tcPr>
          <w:p w:rsidR="002D0303" w:rsidRPr="00E156D2" w:rsidRDefault="002D0303" w:rsidP="00D40897">
            <w:pPr>
              <w:rPr>
                <w:rFonts w:eastAsiaTheme="minorHAnsi"/>
                <w:sz w:val="20"/>
                <w:szCs w:val="20"/>
              </w:rPr>
            </w:pPr>
            <w:r>
              <w:rPr>
                <w:rFonts w:eastAsiaTheme="minorHAnsi"/>
                <w:sz w:val="20"/>
                <w:szCs w:val="20"/>
              </w:rPr>
              <w:t>2001</w:t>
            </w:r>
          </w:p>
        </w:tc>
        <w:tc>
          <w:tcPr>
            <w:tcW w:w="1152" w:type="dxa"/>
          </w:tcPr>
          <w:p w:rsidR="002D0303" w:rsidRPr="00E156D2" w:rsidRDefault="002D0303" w:rsidP="00D40897">
            <w:pPr>
              <w:spacing w:after="0"/>
              <w:rPr>
                <w:sz w:val="20"/>
                <w:szCs w:val="20"/>
              </w:rPr>
            </w:pPr>
            <w:r>
              <w:rPr>
                <w:sz w:val="20"/>
                <w:szCs w:val="20"/>
              </w:rPr>
              <w:t>2002</w:t>
            </w:r>
          </w:p>
        </w:tc>
        <w:tc>
          <w:tcPr>
            <w:tcW w:w="967" w:type="dxa"/>
          </w:tcPr>
          <w:p w:rsidR="002D0303" w:rsidRPr="00E156D2" w:rsidRDefault="002D0303" w:rsidP="00D40897">
            <w:pPr>
              <w:spacing w:after="0"/>
              <w:rPr>
                <w:sz w:val="20"/>
                <w:szCs w:val="20"/>
              </w:rPr>
            </w:pPr>
            <w:r>
              <w:rPr>
                <w:sz w:val="20"/>
                <w:szCs w:val="20"/>
              </w:rPr>
              <w:t>2003</w:t>
            </w:r>
          </w:p>
        </w:tc>
        <w:tc>
          <w:tcPr>
            <w:tcW w:w="967" w:type="dxa"/>
          </w:tcPr>
          <w:p w:rsidR="002D0303" w:rsidRPr="00E156D2" w:rsidRDefault="002D0303" w:rsidP="00D40897">
            <w:pPr>
              <w:spacing w:after="0"/>
              <w:rPr>
                <w:sz w:val="20"/>
                <w:szCs w:val="20"/>
              </w:rPr>
            </w:pPr>
            <w:r>
              <w:rPr>
                <w:sz w:val="20"/>
                <w:szCs w:val="20"/>
              </w:rPr>
              <w:t>2004-2005</w:t>
            </w:r>
          </w:p>
        </w:tc>
        <w:tc>
          <w:tcPr>
            <w:tcW w:w="967" w:type="dxa"/>
          </w:tcPr>
          <w:p w:rsidR="002D0303" w:rsidRDefault="002D0303" w:rsidP="00D40897">
            <w:pPr>
              <w:spacing w:after="0"/>
              <w:rPr>
                <w:sz w:val="20"/>
                <w:szCs w:val="20"/>
              </w:rPr>
            </w:pPr>
            <w:r>
              <w:rPr>
                <w:sz w:val="20"/>
                <w:szCs w:val="20"/>
              </w:rPr>
              <w:t>2006-2008</w:t>
            </w:r>
          </w:p>
        </w:tc>
      </w:tr>
      <w:tr w:rsidR="002D0303" w:rsidTr="002D0303">
        <w:trPr>
          <w:cantSplit/>
        </w:trPr>
        <w:tc>
          <w:tcPr>
            <w:tcW w:w="1327" w:type="dxa"/>
          </w:tcPr>
          <w:p w:rsidR="002D0303" w:rsidRPr="00E156D2" w:rsidRDefault="002D0303" w:rsidP="00FF4B69">
            <w:pPr>
              <w:spacing w:after="120"/>
              <w:rPr>
                <w:sz w:val="20"/>
                <w:szCs w:val="20"/>
              </w:rPr>
            </w:pPr>
            <w:r>
              <w:rPr>
                <w:sz w:val="20"/>
                <w:szCs w:val="20"/>
              </w:rPr>
              <w:t>Weighted</w:t>
            </w:r>
          </w:p>
        </w:tc>
        <w:tc>
          <w:tcPr>
            <w:tcW w:w="1208" w:type="dxa"/>
          </w:tcPr>
          <w:p w:rsidR="002D0303" w:rsidRPr="00E156D2" w:rsidRDefault="002D0303" w:rsidP="00FF4B69">
            <w:pPr>
              <w:spacing w:after="120"/>
              <w:rPr>
                <w:rFonts w:eastAsiaTheme="minorHAnsi"/>
                <w:sz w:val="20"/>
                <w:szCs w:val="20"/>
              </w:rPr>
            </w:pPr>
            <w:r>
              <w:rPr>
                <w:rFonts w:eastAsiaTheme="minorHAnsi"/>
                <w:sz w:val="20"/>
                <w:szCs w:val="20"/>
              </w:rPr>
              <w:t>0.53*</w:t>
            </w:r>
          </w:p>
        </w:tc>
        <w:tc>
          <w:tcPr>
            <w:tcW w:w="1044" w:type="dxa"/>
          </w:tcPr>
          <w:p w:rsidR="002D0303" w:rsidRPr="00E156D2" w:rsidRDefault="002D0303" w:rsidP="00FF4B69">
            <w:pPr>
              <w:spacing w:after="120"/>
              <w:rPr>
                <w:rFonts w:eastAsiaTheme="minorHAnsi"/>
                <w:sz w:val="20"/>
                <w:szCs w:val="20"/>
              </w:rPr>
            </w:pPr>
            <w:r>
              <w:rPr>
                <w:rFonts w:eastAsiaTheme="minorHAnsi"/>
                <w:sz w:val="20"/>
                <w:szCs w:val="20"/>
              </w:rPr>
              <w:t>0.51</w:t>
            </w:r>
          </w:p>
        </w:tc>
        <w:tc>
          <w:tcPr>
            <w:tcW w:w="1003" w:type="dxa"/>
          </w:tcPr>
          <w:p w:rsidR="002D0303" w:rsidRPr="00E156D2" w:rsidRDefault="002D0303" w:rsidP="00FF4B69">
            <w:pPr>
              <w:spacing w:after="120"/>
              <w:rPr>
                <w:rFonts w:eastAsiaTheme="minorHAnsi"/>
                <w:sz w:val="20"/>
                <w:szCs w:val="20"/>
              </w:rPr>
            </w:pPr>
            <w:r>
              <w:rPr>
                <w:rFonts w:eastAsiaTheme="minorHAnsi"/>
                <w:sz w:val="20"/>
                <w:szCs w:val="20"/>
              </w:rPr>
              <w:t>0.41</w:t>
            </w:r>
          </w:p>
        </w:tc>
        <w:tc>
          <w:tcPr>
            <w:tcW w:w="955" w:type="dxa"/>
          </w:tcPr>
          <w:p w:rsidR="002D0303" w:rsidRPr="00E156D2" w:rsidRDefault="002D0303" w:rsidP="00FF4B69">
            <w:pPr>
              <w:spacing w:after="120"/>
              <w:rPr>
                <w:rFonts w:eastAsiaTheme="minorHAnsi"/>
                <w:sz w:val="20"/>
                <w:szCs w:val="20"/>
              </w:rPr>
            </w:pPr>
            <w:r>
              <w:rPr>
                <w:rFonts w:eastAsiaTheme="minorHAnsi"/>
                <w:sz w:val="20"/>
                <w:szCs w:val="20"/>
              </w:rPr>
              <w:t>0.65</w:t>
            </w:r>
          </w:p>
        </w:tc>
        <w:tc>
          <w:tcPr>
            <w:tcW w:w="1152" w:type="dxa"/>
          </w:tcPr>
          <w:p w:rsidR="002D0303" w:rsidRPr="00E156D2" w:rsidRDefault="002D0303" w:rsidP="00FF4B69">
            <w:pPr>
              <w:spacing w:after="120"/>
              <w:rPr>
                <w:sz w:val="20"/>
                <w:szCs w:val="20"/>
              </w:rPr>
            </w:pPr>
            <w:r>
              <w:rPr>
                <w:sz w:val="20"/>
                <w:szCs w:val="20"/>
              </w:rPr>
              <w:t>0.45</w:t>
            </w:r>
          </w:p>
        </w:tc>
        <w:tc>
          <w:tcPr>
            <w:tcW w:w="967" w:type="dxa"/>
          </w:tcPr>
          <w:p w:rsidR="002D0303" w:rsidRPr="00E156D2" w:rsidRDefault="002D0303" w:rsidP="00FF4B69">
            <w:pPr>
              <w:spacing w:after="120"/>
              <w:rPr>
                <w:sz w:val="20"/>
                <w:szCs w:val="20"/>
              </w:rPr>
            </w:pPr>
            <w:r>
              <w:rPr>
                <w:sz w:val="20"/>
                <w:szCs w:val="20"/>
              </w:rPr>
              <w:t>0.59</w:t>
            </w:r>
          </w:p>
        </w:tc>
        <w:tc>
          <w:tcPr>
            <w:tcW w:w="967" w:type="dxa"/>
          </w:tcPr>
          <w:p w:rsidR="002D0303" w:rsidRPr="00E156D2" w:rsidRDefault="002D0303" w:rsidP="00FF4B69">
            <w:pPr>
              <w:spacing w:after="120"/>
              <w:rPr>
                <w:sz w:val="20"/>
                <w:szCs w:val="20"/>
              </w:rPr>
            </w:pPr>
            <w:r>
              <w:rPr>
                <w:sz w:val="20"/>
                <w:szCs w:val="20"/>
              </w:rPr>
              <w:t>0.57</w:t>
            </w:r>
          </w:p>
        </w:tc>
        <w:tc>
          <w:tcPr>
            <w:tcW w:w="967" w:type="dxa"/>
          </w:tcPr>
          <w:p w:rsidR="002D0303" w:rsidRDefault="00D51ADE" w:rsidP="00FF4B69">
            <w:pPr>
              <w:spacing w:after="120"/>
              <w:rPr>
                <w:sz w:val="20"/>
                <w:szCs w:val="20"/>
              </w:rPr>
            </w:pPr>
            <w:r>
              <w:rPr>
                <w:sz w:val="20"/>
                <w:szCs w:val="20"/>
              </w:rPr>
              <w:t>.</w:t>
            </w:r>
            <w:r w:rsidR="00863E7F">
              <w:rPr>
                <w:sz w:val="20"/>
                <w:szCs w:val="20"/>
              </w:rPr>
              <w:t>059</w:t>
            </w:r>
          </w:p>
        </w:tc>
      </w:tr>
      <w:tr w:rsidR="002D0303" w:rsidTr="002D0303">
        <w:trPr>
          <w:cantSplit/>
        </w:trPr>
        <w:tc>
          <w:tcPr>
            <w:tcW w:w="1327" w:type="dxa"/>
          </w:tcPr>
          <w:p w:rsidR="002D0303" w:rsidRPr="00E156D2" w:rsidRDefault="002D0303" w:rsidP="00FF4B69">
            <w:pPr>
              <w:spacing w:after="120"/>
              <w:rPr>
                <w:sz w:val="20"/>
                <w:szCs w:val="20"/>
              </w:rPr>
            </w:pPr>
            <w:r>
              <w:rPr>
                <w:sz w:val="20"/>
                <w:szCs w:val="20"/>
              </w:rPr>
              <w:t>Unweighted</w:t>
            </w:r>
          </w:p>
        </w:tc>
        <w:tc>
          <w:tcPr>
            <w:tcW w:w="1208" w:type="dxa"/>
          </w:tcPr>
          <w:p w:rsidR="002D0303" w:rsidRPr="00E156D2" w:rsidRDefault="002D0303" w:rsidP="00FF4B69">
            <w:pPr>
              <w:spacing w:after="120"/>
              <w:rPr>
                <w:rFonts w:eastAsiaTheme="minorHAnsi"/>
                <w:sz w:val="20"/>
                <w:szCs w:val="20"/>
              </w:rPr>
            </w:pPr>
            <w:r>
              <w:rPr>
                <w:rFonts w:eastAsiaTheme="minorHAnsi"/>
                <w:sz w:val="20"/>
                <w:szCs w:val="20"/>
              </w:rPr>
              <w:t>0.49</w:t>
            </w:r>
          </w:p>
        </w:tc>
        <w:tc>
          <w:tcPr>
            <w:tcW w:w="1044" w:type="dxa"/>
          </w:tcPr>
          <w:p w:rsidR="002D0303" w:rsidRPr="00E156D2" w:rsidRDefault="002D0303" w:rsidP="00FF4B69">
            <w:pPr>
              <w:spacing w:after="120"/>
              <w:rPr>
                <w:rFonts w:eastAsiaTheme="minorHAnsi"/>
                <w:sz w:val="20"/>
                <w:szCs w:val="20"/>
              </w:rPr>
            </w:pPr>
            <w:r>
              <w:rPr>
                <w:rFonts w:eastAsiaTheme="minorHAnsi"/>
                <w:sz w:val="20"/>
                <w:szCs w:val="20"/>
              </w:rPr>
              <w:t>0.48</w:t>
            </w:r>
          </w:p>
        </w:tc>
        <w:tc>
          <w:tcPr>
            <w:tcW w:w="1003" w:type="dxa"/>
          </w:tcPr>
          <w:p w:rsidR="002D0303" w:rsidRPr="00E156D2" w:rsidRDefault="002D0303" w:rsidP="00FF4B69">
            <w:pPr>
              <w:spacing w:after="120"/>
              <w:rPr>
                <w:rFonts w:eastAsiaTheme="minorHAnsi"/>
                <w:sz w:val="20"/>
                <w:szCs w:val="20"/>
              </w:rPr>
            </w:pPr>
            <w:r>
              <w:rPr>
                <w:rFonts w:eastAsiaTheme="minorHAnsi"/>
                <w:sz w:val="20"/>
                <w:szCs w:val="20"/>
              </w:rPr>
              <w:t>0.46</w:t>
            </w:r>
          </w:p>
        </w:tc>
        <w:tc>
          <w:tcPr>
            <w:tcW w:w="955" w:type="dxa"/>
          </w:tcPr>
          <w:p w:rsidR="002D0303" w:rsidRPr="00E156D2" w:rsidRDefault="002D0303" w:rsidP="00FF4B69">
            <w:pPr>
              <w:spacing w:after="120"/>
              <w:rPr>
                <w:rFonts w:eastAsiaTheme="minorHAnsi"/>
                <w:sz w:val="20"/>
                <w:szCs w:val="20"/>
              </w:rPr>
            </w:pPr>
            <w:r>
              <w:rPr>
                <w:rFonts w:eastAsiaTheme="minorHAnsi"/>
                <w:sz w:val="20"/>
                <w:szCs w:val="20"/>
              </w:rPr>
              <w:t>0.55</w:t>
            </w:r>
          </w:p>
        </w:tc>
        <w:tc>
          <w:tcPr>
            <w:tcW w:w="1152" w:type="dxa"/>
          </w:tcPr>
          <w:p w:rsidR="002D0303" w:rsidRPr="00E156D2" w:rsidRDefault="002D0303" w:rsidP="00FF4B69">
            <w:pPr>
              <w:spacing w:after="120"/>
              <w:rPr>
                <w:sz w:val="20"/>
                <w:szCs w:val="20"/>
              </w:rPr>
            </w:pPr>
            <w:r>
              <w:rPr>
                <w:sz w:val="20"/>
                <w:szCs w:val="20"/>
              </w:rPr>
              <w:t>0.45</w:t>
            </w:r>
          </w:p>
        </w:tc>
        <w:tc>
          <w:tcPr>
            <w:tcW w:w="967" w:type="dxa"/>
          </w:tcPr>
          <w:p w:rsidR="002D0303" w:rsidRPr="00E156D2" w:rsidRDefault="002D0303" w:rsidP="00FF4B69">
            <w:pPr>
              <w:spacing w:after="120"/>
              <w:rPr>
                <w:sz w:val="20"/>
                <w:szCs w:val="20"/>
              </w:rPr>
            </w:pPr>
            <w:r>
              <w:rPr>
                <w:sz w:val="20"/>
                <w:szCs w:val="20"/>
              </w:rPr>
              <w:t>0.60</w:t>
            </w:r>
          </w:p>
        </w:tc>
        <w:tc>
          <w:tcPr>
            <w:tcW w:w="967" w:type="dxa"/>
          </w:tcPr>
          <w:p w:rsidR="002D0303" w:rsidRPr="00E156D2" w:rsidRDefault="002D0303" w:rsidP="00FF4B69">
            <w:pPr>
              <w:spacing w:after="120"/>
              <w:rPr>
                <w:sz w:val="20"/>
                <w:szCs w:val="20"/>
              </w:rPr>
            </w:pPr>
            <w:r>
              <w:rPr>
                <w:sz w:val="20"/>
                <w:szCs w:val="20"/>
              </w:rPr>
              <w:t>0.54</w:t>
            </w:r>
          </w:p>
        </w:tc>
        <w:tc>
          <w:tcPr>
            <w:tcW w:w="967" w:type="dxa"/>
          </w:tcPr>
          <w:p w:rsidR="002D0303" w:rsidRDefault="002D0303" w:rsidP="00FF4B69">
            <w:pPr>
              <w:spacing w:after="120"/>
              <w:rPr>
                <w:sz w:val="20"/>
                <w:szCs w:val="20"/>
              </w:rPr>
            </w:pPr>
          </w:p>
        </w:tc>
      </w:tr>
    </w:tbl>
    <w:p w:rsidR="00052F77" w:rsidRDefault="00052F77" w:rsidP="00BD7911">
      <w:pPr>
        <w:pStyle w:val="tablefootnote"/>
      </w:pPr>
      <w:r>
        <w:t>* Weighted by incentives rather than by kWh savings.</w:t>
      </w:r>
    </w:p>
    <w:p w:rsidR="001A749A" w:rsidRPr="00BD7911" w:rsidRDefault="00B17EED" w:rsidP="00077A05">
      <w:pPr>
        <w:pStyle w:val="Heading2"/>
      </w:pPr>
      <w:r w:rsidRPr="00BD7911">
        <w:t xml:space="preserve">Recommended </w:t>
      </w:r>
      <w:r w:rsidR="001A749A" w:rsidRPr="00BD7911">
        <w:t xml:space="preserve">NTGR </w:t>
      </w:r>
      <w:r w:rsidRPr="00BD7911">
        <w:t>Values for Future Programs</w:t>
      </w:r>
      <w:r w:rsidR="001A749A" w:rsidRPr="00BD7911">
        <w:t xml:space="preserve"> </w:t>
      </w:r>
    </w:p>
    <w:p w:rsidR="00B21CFB" w:rsidRDefault="00742AD6" w:rsidP="00D064A7">
      <w:pPr>
        <w:rPr>
          <w:rFonts w:eastAsiaTheme="minorHAnsi"/>
        </w:rPr>
      </w:pPr>
      <w:r>
        <w:rPr>
          <w:rFonts w:eastAsiaTheme="minorHAnsi"/>
        </w:rPr>
        <w:t xml:space="preserve">Given </w:t>
      </w:r>
      <w:r w:rsidR="00FB47D7">
        <w:rPr>
          <w:rFonts w:eastAsiaTheme="minorHAnsi"/>
        </w:rPr>
        <w:t>the stability of NTGR values over the past several evaluation cycles</w:t>
      </w:r>
      <w:r>
        <w:rPr>
          <w:rFonts w:eastAsiaTheme="minorHAnsi"/>
        </w:rPr>
        <w:t xml:space="preserve">, and the fact that many of the recommendation for program improvements have not been implemented, the DEER </w:t>
      </w:r>
      <w:r w:rsidR="00FB47D7">
        <w:rPr>
          <w:rFonts w:eastAsiaTheme="minorHAnsi"/>
        </w:rPr>
        <w:t xml:space="preserve">team advises using </w:t>
      </w:r>
      <w:r w:rsidR="00576ABD">
        <w:rPr>
          <w:rFonts w:eastAsiaTheme="minorHAnsi"/>
        </w:rPr>
        <w:t xml:space="preserve">the </w:t>
      </w:r>
      <w:r w:rsidR="00FB47D7">
        <w:rPr>
          <w:rFonts w:eastAsiaTheme="minorHAnsi"/>
        </w:rPr>
        <w:t xml:space="preserve">recommended NTGR </w:t>
      </w:r>
      <w:r w:rsidR="00576ABD">
        <w:rPr>
          <w:rFonts w:eastAsiaTheme="minorHAnsi"/>
        </w:rPr>
        <w:t xml:space="preserve">values </w:t>
      </w:r>
      <w:r w:rsidR="00FB47D7">
        <w:rPr>
          <w:rFonts w:eastAsiaTheme="minorHAnsi"/>
        </w:rPr>
        <w:t xml:space="preserve">(based on </w:t>
      </w:r>
      <w:r w:rsidR="00576ABD">
        <w:rPr>
          <w:rFonts w:eastAsiaTheme="minorHAnsi"/>
        </w:rPr>
        <w:t xml:space="preserve">the 2006-08 </w:t>
      </w:r>
      <w:r w:rsidR="00FB47D7">
        <w:rPr>
          <w:rFonts w:eastAsiaTheme="minorHAnsi"/>
        </w:rPr>
        <w:t xml:space="preserve">EM&amp;V studies) for future program years. </w:t>
      </w:r>
      <w:r w:rsidR="00576ABD">
        <w:rPr>
          <w:rFonts w:eastAsiaTheme="minorHAnsi"/>
        </w:rPr>
        <w:t>Thus we recommend no adjustment be made to the NTGR values presented in</w:t>
      </w:r>
      <w:r>
        <w:rPr>
          <w:rFonts w:eastAsiaTheme="minorHAnsi"/>
        </w:rPr>
        <w:t xml:space="preserve"> </w:t>
      </w:r>
      <w:r w:rsidR="00F25699">
        <w:fldChar w:fldCharType="begin"/>
      </w:r>
      <w:r w:rsidR="00F25699">
        <w:instrText xml:space="preserve"> REF _Ref305704678  \* MERGEFORMAT </w:instrText>
      </w:r>
      <w:r w:rsidR="00F25699">
        <w:fldChar w:fldCharType="separate"/>
      </w:r>
      <w:r w:rsidR="00EF45A4">
        <w:t xml:space="preserve">Table </w:t>
      </w:r>
      <w:r w:rsidR="00EF45A4">
        <w:rPr>
          <w:noProof/>
        </w:rPr>
        <w:t>9</w:t>
      </w:r>
      <w:r w:rsidR="00EF45A4">
        <w:rPr>
          <w:noProof/>
        </w:rPr>
        <w:noBreakHyphen/>
        <w:t>5</w:t>
      </w:r>
      <w:r w:rsidR="00F25699">
        <w:rPr>
          <w:noProof/>
        </w:rPr>
        <w:fldChar w:fldCharType="end"/>
      </w:r>
      <w:r w:rsidR="00077A05">
        <w:rPr>
          <w:rFonts w:eastAsiaTheme="minorHAnsi"/>
        </w:rPr>
        <w:t>.</w:t>
      </w:r>
    </w:p>
    <w:sectPr w:rsidR="00B21CFB" w:rsidSect="005B0772">
      <w:footerReference w:type="default" r:id="rId20"/>
      <w:footerReference w:type="first" r:id="rId21"/>
      <w:pgSz w:w="12240" w:h="15840" w:code="1"/>
      <w:pgMar w:top="1440" w:right="1440" w:bottom="1440" w:left="1440" w:header="720" w:footer="720" w:gutter="0"/>
      <w:pgNumType w:chapStyle="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699" w:rsidRDefault="00F25699" w:rsidP="006A4B7C">
      <w:pPr>
        <w:spacing w:after="0" w:line="240" w:lineRule="auto"/>
      </w:pPr>
      <w:r>
        <w:separator/>
      </w:r>
    </w:p>
  </w:endnote>
  <w:endnote w:type="continuationSeparator" w:id="0">
    <w:p w:rsidR="00F25699" w:rsidRDefault="00F25699" w:rsidP="006A4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911" w:rsidRPr="00471182" w:rsidRDefault="00BD7911" w:rsidP="005B0772">
    <w:pPr>
      <w:pStyle w:val="Footer"/>
      <w:tabs>
        <w:tab w:val="clear" w:pos="4680"/>
        <w:tab w:val="center" w:pos="4500"/>
        <w:tab w:val="right" w:pos="12960"/>
      </w:tabs>
    </w:pPr>
    <w:r>
      <w:t>Itron, Inc.</w:t>
    </w:r>
    <w:r>
      <w:tab/>
    </w:r>
    <w:r w:rsidR="00F25699">
      <w:fldChar w:fldCharType="begin"/>
    </w:r>
    <w:r w:rsidR="00F25699">
      <w:instrText xml:space="preserve"> PAGE   \* MERGEFORMAT </w:instrText>
    </w:r>
    <w:r w:rsidR="00F25699">
      <w:fldChar w:fldCharType="separate"/>
    </w:r>
    <w:r w:rsidR="007818AA">
      <w:rPr>
        <w:noProof/>
      </w:rPr>
      <w:t>9-2</w:t>
    </w:r>
    <w:r w:rsidR="00F25699">
      <w:rPr>
        <w:noProof/>
      </w:rPr>
      <w:fldChar w:fldCharType="end"/>
    </w:r>
    <w:r>
      <w:tab/>
    </w:r>
    <w:r w:rsidRPr="00471182">
      <w:t>Updates</w:t>
    </w:r>
    <w:r>
      <w:t xml:space="preserve">: </w:t>
    </w:r>
    <w:r w:rsidRPr="00471182">
      <w:t>NTGR</w:t>
    </w:r>
    <w:r>
      <w:t>-</w:t>
    </w:r>
    <w:r w:rsidRPr="00471182">
      <w:t>Ind</w:t>
    </w:r>
    <w:r>
      <w:t xml:space="preserve">. &amp; </w:t>
    </w:r>
    <w:r w:rsidRPr="00471182">
      <w:t>Ag</w:t>
    </w:r>
    <w:r>
      <w:t xml:space="preserve">. </w:t>
    </w:r>
    <w:r w:rsidRPr="00471182">
      <w:t>End Uses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911" w:rsidRPr="00471182" w:rsidRDefault="00BD7911" w:rsidP="005B0772">
    <w:pPr>
      <w:pStyle w:val="Footer"/>
      <w:tabs>
        <w:tab w:val="clear" w:pos="4680"/>
        <w:tab w:val="center" w:pos="4500"/>
        <w:tab w:val="right" w:pos="12960"/>
      </w:tabs>
    </w:pPr>
    <w:r>
      <w:t>Itron, Inc.</w:t>
    </w:r>
    <w:r>
      <w:tab/>
    </w:r>
    <w:r w:rsidR="00F25699">
      <w:fldChar w:fldCharType="begin"/>
    </w:r>
    <w:r w:rsidR="00F25699">
      <w:instrText xml:space="preserve"> PAGE   \* MERGEFORMAT </w:instrText>
    </w:r>
    <w:r w:rsidR="00F25699">
      <w:fldChar w:fldCharType="separate"/>
    </w:r>
    <w:r w:rsidR="007818AA">
      <w:rPr>
        <w:noProof/>
      </w:rPr>
      <w:t>9-1</w:t>
    </w:r>
    <w:r w:rsidR="00F25699">
      <w:rPr>
        <w:noProof/>
      </w:rPr>
      <w:fldChar w:fldCharType="end"/>
    </w:r>
    <w:r>
      <w:tab/>
    </w:r>
    <w:r w:rsidRPr="00471182">
      <w:t>Updates</w:t>
    </w:r>
    <w:r>
      <w:t xml:space="preserve">: </w:t>
    </w:r>
    <w:r w:rsidRPr="00471182">
      <w:t>NTGR</w:t>
    </w:r>
    <w:r>
      <w:t>-</w:t>
    </w:r>
    <w:r w:rsidRPr="00471182">
      <w:t>Ind</w:t>
    </w:r>
    <w:r>
      <w:t xml:space="preserve">. &amp; </w:t>
    </w:r>
    <w:r w:rsidRPr="00471182">
      <w:t>Ag</w:t>
    </w:r>
    <w:r>
      <w:t xml:space="preserve">. </w:t>
    </w:r>
    <w:r w:rsidRPr="00471182">
      <w:t>End Uses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911" w:rsidRPr="00471182" w:rsidRDefault="00BD7911" w:rsidP="005B0772">
    <w:pPr>
      <w:pStyle w:val="Footer"/>
      <w:tabs>
        <w:tab w:val="clear" w:pos="4680"/>
        <w:tab w:val="clear" w:pos="9360"/>
        <w:tab w:val="center" w:pos="6480"/>
        <w:tab w:val="right" w:pos="12960"/>
      </w:tabs>
    </w:pPr>
    <w:r>
      <w:t>Itron, Inc.</w:t>
    </w:r>
    <w:r>
      <w:tab/>
    </w:r>
    <w:r w:rsidR="00F25699">
      <w:fldChar w:fldCharType="begin"/>
    </w:r>
    <w:r w:rsidR="00F25699">
      <w:instrText xml:space="preserve"> PAGE   \* MERGEFORMAT </w:instrText>
    </w:r>
    <w:r w:rsidR="00F25699">
      <w:fldChar w:fldCharType="separate"/>
    </w:r>
    <w:r w:rsidR="007818AA">
      <w:rPr>
        <w:noProof/>
      </w:rPr>
      <w:t>9-4</w:t>
    </w:r>
    <w:r w:rsidR="00F25699">
      <w:rPr>
        <w:noProof/>
      </w:rPr>
      <w:fldChar w:fldCharType="end"/>
    </w:r>
    <w:r>
      <w:tab/>
    </w:r>
    <w:r w:rsidRPr="00471182">
      <w:t>Updates</w:t>
    </w:r>
    <w:r>
      <w:t xml:space="preserve">: </w:t>
    </w:r>
    <w:r w:rsidRPr="00471182">
      <w:t>NTGR</w:t>
    </w:r>
    <w:r>
      <w:t>-</w:t>
    </w:r>
    <w:r w:rsidRPr="00471182">
      <w:t>Ind</w:t>
    </w:r>
    <w:r>
      <w:t xml:space="preserve">. &amp; </w:t>
    </w:r>
    <w:r w:rsidRPr="00471182">
      <w:t>Ag</w:t>
    </w:r>
    <w:r>
      <w:t xml:space="preserve">. </w:t>
    </w:r>
    <w:r w:rsidRPr="00471182">
      <w:t>End Uses</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911" w:rsidRPr="00471182" w:rsidRDefault="00BD7911" w:rsidP="005B0772">
    <w:pPr>
      <w:pStyle w:val="Footer"/>
      <w:tabs>
        <w:tab w:val="clear" w:pos="4680"/>
        <w:tab w:val="clear" w:pos="9360"/>
        <w:tab w:val="center" w:pos="6480"/>
        <w:tab w:val="right" w:pos="12960"/>
      </w:tabs>
    </w:pPr>
    <w:r>
      <w:t>Itron, Inc.</w:t>
    </w:r>
    <w:r>
      <w:tab/>
    </w:r>
    <w:r w:rsidR="00F25699">
      <w:fldChar w:fldCharType="begin"/>
    </w:r>
    <w:r w:rsidR="00F25699">
      <w:instrText xml:space="preserve"> PAGE   \* MERGEFORMAT </w:instrText>
    </w:r>
    <w:r w:rsidR="00F25699">
      <w:fldChar w:fldCharType="separate"/>
    </w:r>
    <w:r w:rsidR="007818AA">
      <w:rPr>
        <w:noProof/>
      </w:rPr>
      <w:t>9-3</w:t>
    </w:r>
    <w:r w:rsidR="00F25699">
      <w:rPr>
        <w:noProof/>
      </w:rPr>
      <w:fldChar w:fldCharType="end"/>
    </w:r>
    <w:r>
      <w:tab/>
    </w:r>
    <w:r w:rsidRPr="00471182">
      <w:t>Updates</w:t>
    </w:r>
    <w:r>
      <w:t xml:space="preserve">: </w:t>
    </w:r>
    <w:r w:rsidRPr="00471182">
      <w:t>NTGR</w:t>
    </w:r>
    <w:r>
      <w:t>-</w:t>
    </w:r>
    <w:r w:rsidRPr="00471182">
      <w:t>Ind</w:t>
    </w:r>
    <w:r>
      <w:t xml:space="preserve">. &amp; </w:t>
    </w:r>
    <w:r w:rsidRPr="00471182">
      <w:t>Ag</w:t>
    </w:r>
    <w:r>
      <w:t xml:space="preserve">. </w:t>
    </w:r>
    <w:r w:rsidRPr="00471182">
      <w:t>End Uses</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911" w:rsidRPr="00471182" w:rsidRDefault="00BD7911" w:rsidP="005B0772">
    <w:pPr>
      <w:pStyle w:val="Footer"/>
      <w:tabs>
        <w:tab w:val="clear" w:pos="4680"/>
        <w:tab w:val="center" w:pos="4500"/>
        <w:tab w:val="right" w:pos="12960"/>
      </w:tabs>
    </w:pPr>
    <w:r>
      <w:t>Itron, Inc.</w:t>
    </w:r>
    <w:r>
      <w:tab/>
    </w:r>
    <w:r w:rsidR="00F25699">
      <w:fldChar w:fldCharType="begin"/>
    </w:r>
    <w:r w:rsidR="00F25699">
      <w:instrText xml:space="preserve"> PAGE   \* MERGEFORMAT </w:instrText>
    </w:r>
    <w:r w:rsidR="00F25699">
      <w:fldChar w:fldCharType="separate"/>
    </w:r>
    <w:r w:rsidR="007818AA">
      <w:rPr>
        <w:noProof/>
      </w:rPr>
      <w:t>9-12</w:t>
    </w:r>
    <w:r w:rsidR="00F25699">
      <w:rPr>
        <w:noProof/>
      </w:rPr>
      <w:fldChar w:fldCharType="end"/>
    </w:r>
    <w:r>
      <w:tab/>
    </w:r>
    <w:r w:rsidRPr="00471182">
      <w:t>Updates</w:t>
    </w:r>
    <w:r>
      <w:t xml:space="preserve">: </w:t>
    </w:r>
    <w:r w:rsidRPr="00471182">
      <w:t>NTGR</w:t>
    </w:r>
    <w:r>
      <w:t>-</w:t>
    </w:r>
    <w:r w:rsidRPr="00471182">
      <w:t>Ind</w:t>
    </w:r>
    <w:r>
      <w:t xml:space="preserve">. &amp; </w:t>
    </w:r>
    <w:r w:rsidRPr="00471182">
      <w:t>Ag</w:t>
    </w:r>
    <w:r>
      <w:t xml:space="preserve">. </w:t>
    </w:r>
    <w:r w:rsidRPr="00471182">
      <w:t>End Uses</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911" w:rsidRPr="00471182" w:rsidRDefault="00BD7911" w:rsidP="005B0772">
    <w:pPr>
      <w:pStyle w:val="Footer"/>
      <w:tabs>
        <w:tab w:val="clear" w:pos="4680"/>
        <w:tab w:val="center" w:pos="4500"/>
        <w:tab w:val="right" w:pos="12960"/>
      </w:tabs>
    </w:pPr>
    <w:r>
      <w:t>Itron, Inc.</w:t>
    </w:r>
    <w:r>
      <w:tab/>
    </w:r>
    <w:r w:rsidR="00F25699">
      <w:fldChar w:fldCharType="begin"/>
    </w:r>
    <w:r w:rsidR="00F25699">
      <w:instrText xml:space="preserve"> PAGE   </w:instrText>
    </w:r>
    <w:r w:rsidR="00F25699">
      <w:instrText xml:space="preserve">\* MERGEFORMAT </w:instrText>
    </w:r>
    <w:r w:rsidR="00F25699">
      <w:fldChar w:fldCharType="separate"/>
    </w:r>
    <w:r w:rsidR="007818AA">
      <w:rPr>
        <w:noProof/>
      </w:rPr>
      <w:t>9-6</w:t>
    </w:r>
    <w:r w:rsidR="00F25699">
      <w:rPr>
        <w:noProof/>
      </w:rPr>
      <w:fldChar w:fldCharType="end"/>
    </w:r>
    <w:r>
      <w:tab/>
    </w:r>
    <w:r w:rsidRPr="00471182">
      <w:t>Updates</w:t>
    </w:r>
    <w:r>
      <w:t xml:space="preserve">: </w:t>
    </w:r>
    <w:r w:rsidRPr="00471182">
      <w:t>NTGR</w:t>
    </w:r>
    <w:r>
      <w:t>-</w:t>
    </w:r>
    <w:r w:rsidRPr="00471182">
      <w:t>Ind</w:t>
    </w:r>
    <w:r>
      <w:t xml:space="preserve">. &amp; </w:t>
    </w:r>
    <w:r w:rsidRPr="00471182">
      <w:t>Ag</w:t>
    </w:r>
    <w:r>
      <w:t xml:space="preserve">. </w:t>
    </w:r>
    <w:r w:rsidRPr="00471182">
      <w:t>End Uses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699" w:rsidRDefault="00F25699" w:rsidP="006A4B7C">
      <w:pPr>
        <w:spacing w:after="0" w:line="240" w:lineRule="auto"/>
      </w:pPr>
      <w:r>
        <w:separator/>
      </w:r>
    </w:p>
  </w:footnote>
  <w:footnote w:type="continuationSeparator" w:id="0">
    <w:p w:rsidR="00F25699" w:rsidRDefault="00F25699" w:rsidP="006A4B7C">
      <w:pPr>
        <w:spacing w:after="0" w:line="240" w:lineRule="auto"/>
      </w:pPr>
      <w:r>
        <w:continuationSeparator/>
      </w:r>
    </w:p>
  </w:footnote>
  <w:footnote w:id="1">
    <w:p w:rsidR="00BD7911" w:rsidRDefault="00BD7911" w:rsidP="00B149F5">
      <w:pPr>
        <w:pStyle w:val="FootnoteText"/>
      </w:pPr>
      <w:r>
        <w:rPr>
          <w:rStyle w:val="FootnoteReference"/>
        </w:rPr>
        <w:footnoteRef/>
      </w:r>
      <w:r>
        <w:t xml:space="preserve"> </w:t>
      </w:r>
      <w:r>
        <w:tab/>
      </w:r>
      <w:r w:rsidRPr="00F23034">
        <w:t>Note that we do not refer to an Enhanced level of analysis, since this is defined by the Protocols to involve the application of two separate analysis approaches, such as billing analysis or discrete choice modeling</w:t>
      </w:r>
      <w:r>
        <w:t>.</w:t>
      </w:r>
    </w:p>
  </w:footnote>
  <w:footnote w:id="2">
    <w:p w:rsidR="00BD7911" w:rsidRDefault="00BD7911">
      <w:pPr>
        <w:pStyle w:val="FootnoteText"/>
      </w:pPr>
      <w:r>
        <w:rPr>
          <w:rStyle w:val="FootnoteReference"/>
        </w:rPr>
        <w:footnoteRef/>
      </w:r>
      <w:r>
        <w:t xml:space="preserve"> </w:t>
      </w:r>
      <w:r>
        <w:tab/>
        <w:t>The kW Engineering study focused on the overall Agricultural program, and did not use a HIM-based approach.  Therefore, the NTGR is representative of the program as a whole, not any particular measure.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911" w:rsidRDefault="00BD7911">
    <w:pPr>
      <w:pStyle w:val="Header"/>
    </w:pPr>
    <w:r w:rsidRPr="00471182">
      <w:t>Database for Energy Efficiency Resources: 2011 Update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911" w:rsidRPr="005B0772" w:rsidRDefault="00BD7911" w:rsidP="005B0772">
    <w:pPr>
      <w:pStyle w:val="Header"/>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911" w:rsidRDefault="00BD7911">
    <w:pPr>
      <w:pStyle w:val="Header"/>
    </w:pPr>
    <w:r w:rsidRPr="00471182">
      <w:t>Database for Energy Efficiency Resources: 2011 Update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911" w:rsidRPr="005B0772" w:rsidRDefault="00BD7911" w:rsidP="005B0772">
    <w:pPr>
      <w:pStyle w:val="Header"/>
    </w:pPr>
    <w:r w:rsidRPr="005B0772">
      <w:t>Database for Energy Efficiency Resources: 2011 Update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0747692"/>
    <w:lvl w:ilvl="0">
      <w:start w:val="1"/>
      <w:numFmt w:val="bullet"/>
      <w:pStyle w:val="ListBullet2"/>
      <w:lvlText w:val="─"/>
      <w:lvlJc w:val="left"/>
      <w:pPr>
        <w:ind w:left="1800" w:hanging="360"/>
      </w:pPr>
      <w:rPr>
        <w:rFonts w:ascii="Times New Roman" w:hAnsi="Times New Roman" w:cs="Times New Roman" w:hint="default"/>
        <w:sz w:val="24"/>
      </w:rPr>
    </w:lvl>
  </w:abstractNum>
  <w:abstractNum w:abstractNumId="1">
    <w:nsid w:val="FFFFFFFB"/>
    <w:multiLevelType w:val="multilevel"/>
    <w:tmpl w:val="468A96B4"/>
    <w:lvl w:ilvl="0">
      <w:start w:val="9"/>
      <w:numFmt w:val="decimal"/>
      <w:pStyle w:val="Heading1"/>
      <w:suff w:val="nothing"/>
      <w:lvlText w:val="%1"/>
      <w:lvlJc w:val="left"/>
      <w:pPr>
        <w:ind w:left="0" w:firstLine="0"/>
      </w:pPr>
      <w:rPr>
        <w:rFonts w:ascii="Arial" w:hAnsi="Arial" w:hint="default"/>
        <w:b/>
        <w:i/>
        <w:sz w:val="72"/>
      </w:rPr>
    </w:lvl>
    <w:lvl w:ilvl="1">
      <w:start w:val="1"/>
      <w:numFmt w:val="decimal"/>
      <w:pStyle w:val="Heading2"/>
      <w:suff w:val="nothing"/>
      <w:lvlText w:val="%1.%2  "/>
      <w:lvlJc w:val="left"/>
      <w:pPr>
        <w:ind w:left="0" w:firstLine="0"/>
      </w:pPr>
      <w:rPr>
        <w:rFonts w:ascii="Arial" w:hAnsi="Arial" w:hint="default"/>
        <w:b/>
        <w:i w:val="0"/>
        <w:sz w:val="28"/>
      </w:rPr>
    </w:lvl>
    <w:lvl w:ilvl="2">
      <w:start w:val="1"/>
      <w:numFmt w:val="decimal"/>
      <w:pStyle w:val="Heading3"/>
      <w:suff w:val="nothing"/>
      <w:lvlText w:val="%1.%2.%3  "/>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
    <w:nsid w:val="01D451CE"/>
    <w:multiLevelType w:val="multilevel"/>
    <w:tmpl w:val="67F0C0C4"/>
    <w:numStyleLink w:val="CnAListBullets"/>
  </w:abstractNum>
  <w:abstractNum w:abstractNumId="3">
    <w:nsid w:val="08025926"/>
    <w:multiLevelType w:val="multilevel"/>
    <w:tmpl w:val="67F0C0C4"/>
    <w:numStyleLink w:val="CnAListBullets"/>
  </w:abstractNum>
  <w:abstractNum w:abstractNumId="4">
    <w:nsid w:val="0DFB10ED"/>
    <w:multiLevelType w:val="multilevel"/>
    <w:tmpl w:val="67F0C0C4"/>
    <w:numStyleLink w:val="CnAListBullets"/>
  </w:abstractNum>
  <w:abstractNum w:abstractNumId="5">
    <w:nsid w:val="18C44C83"/>
    <w:multiLevelType w:val="multilevel"/>
    <w:tmpl w:val="67F0C0C4"/>
    <w:numStyleLink w:val="CnAListBullets"/>
  </w:abstractNum>
  <w:abstractNum w:abstractNumId="6">
    <w:nsid w:val="1F3579A3"/>
    <w:multiLevelType w:val="hybridMultilevel"/>
    <w:tmpl w:val="2304C0C6"/>
    <w:lvl w:ilvl="0" w:tplc="9968C8EC">
      <w:start w:val="1"/>
      <w:numFmt w:val="bullet"/>
      <w:pStyle w:val="bullet1stlevel"/>
      <w:lvlText w:val=""/>
      <w:lvlJc w:val="left"/>
      <w:pPr>
        <w:tabs>
          <w:tab w:val="num" w:pos="720"/>
        </w:tabs>
        <w:ind w:left="720" w:hanging="360"/>
      </w:pPr>
      <w:rPr>
        <w:rFonts w:ascii="Wingdings" w:hAnsi="Wingdings" w:hint="default"/>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6D86E6A"/>
    <w:multiLevelType w:val="hybridMultilevel"/>
    <w:tmpl w:val="4C4EA6F8"/>
    <w:lvl w:ilvl="0" w:tplc="04090001">
      <w:start w:val="1"/>
      <w:numFmt w:val="bullet"/>
      <w:lvlText w:val=""/>
      <w:lvlJc w:val="left"/>
      <w:pPr>
        <w:ind w:left="720" w:hanging="360"/>
      </w:pPr>
      <w:rPr>
        <w:rFonts w:ascii="Symbol" w:hAnsi="Symbol" w:hint="default"/>
      </w:rPr>
    </w:lvl>
    <w:lvl w:ilvl="1" w:tplc="DBACE5CC">
      <w:start w:val="1"/>
      <w:numFmt w:val="bullet"/>
      <w:lvlText w:val="–"/>
      <w:lvlJc w:val="left"/>
      <w:pPr>
        <w:ind w:left="1440" w:hanging="360"/>
      </w:pPr>
      <w:rPr>
        <w:rFonts w:ascii="Times New Roma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7208D3"/>
    <w:multiLevelType w:val="hybridMultilevel"/>
    <w:tmpl w:val="80FCCDA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5707EA"/>
    <w:multiLevelType w:val="multilevel"/>
    <w:tmpl w:val="67F0C0C4"/>
    <w:styleLink w:val="CnAListBullets"/>
    <w:lvl w:ilvl="0">
      <w:start w:val="1"/>
      <w:numFmt w:val="bullet"/>
      <w:lvlText w:val=""/>
      <w:lvlJc w:val="left"/>
      <w:pPr>
        <w:ind w:left="720" w:hanging="432"/>
      </w:pPr>
      <w:rPr>
        <w:rFonts w:ascii="Wingdings" w:hAnsi="Wingdings" w:hint="default"/>
        <w:sz w:val="16"/>
      </w:rPr>
    </w:lvl>
    <w:lvl w:ilvl="1">
      <w:start w:val="1"/>
      <w:numFmt w:val="bullet"/>
      <w:lvlText w:val="─"/>
      <w:lvlJc w:val="left"/>
      <w:pPr>
        <w:ind w:left="1152" w:hanging="432"/>
      </w:pPr>
      <w:rPr>
        <w:rFonts w:ascii="Times New Roman" w:hAnsi="Times New Roman" w:cs="Times New Roman" w:hint="default"/>
        <w:b/>
        <w:sz w:val="24"/>
      </w:rPr>
    </w:lvl>
    <w:lvl w:ilvl="2">
      <w:start w:val="1"/>
      <w:numFmt w:val="bullet"/>
      <w:lvlText w:val="-"/>
      <w:lvlJc w:val="left"/>
      <w:pPr>
        <w:ind w:left="1584" w:hanging="432"/>
      </w:pPr>
      <w:rPr>
        <w:rFonts w:ascii="Times New Roman" w:hAnsi="Times New Roman" w:cs="Times New Roman" w:hint="default"/>
        <w:sz w:val="24"/>
      </w:rPr>
    </w:lvl>
    <w:lvl w:ilvl="3">
      <w:start w:val="1"/>
      <w:numFmt w:val="bullet"/>
      <w:lvlText w:val=""/>
      <w:lvlJc w:val="left"/>
      <w:pPr>
        <w:ind w:left="2016" w:hanging="432"/>
      </w:pPr>
      <w:rPr>
        <w:rFonts w:ascii="Symbol" w:hAnsi="Symbol" w:hint="default"/>
      </w:rPr>
    </w:lvl>
    <w:lvl w:ilvl="4">
      <w:start w:val="1"/>
      <w:numFmt w:val="bullet"/>
      <w:lvlText w:val=""/>
      <w:lvlJc w:val="left"/>
      <w:pPr>
        <w:ind w:left="2448" w:hanging="432"/>
      </w:pPr>
      <w:rPr>
        <w:rFonts w:ascii="Symbol" w:hAnsi="Symbol" w:hint="default"/>
      </w:rPr>
    </w:lvl>
    <w:lvl w:ilvl="5">
      <w:start w:val="1"/>
      <w:numFmt w:val="bullet"/>
      <w:lvlText w:val=""/>
      <w:lvlJc w:val="left"/>
      <w:pPr>
        <w:ind w:left="2880" w:hanging="432"/>
      </w:pPr>
      <w:rPr>
        <w:rFonts w:ascii="Wingdings" w:hAnsi="Wingdings" w:hint="default"/>
      </w:rPr>
    </w:lvl>
    <w:lvl w:ilvl="6">
      <w:start w:val="1"/>
      <w:numFmt w:val="bullet"/>
      <w:lvlText w:val=""/>
      <w:lvlJc w:val="left"/>
      <w:pPr>
        <w:ind w:left="3312" w:hanging="432"/>
      </w:pPr>
      <w:rPr>
        <w:rFonts w:ascii="Wingdings" w:hAnsi="Wingdings" w:hint="default"/>
      </w:rPr>
    </w:lvl>
    <w:lvl w:ilvl="7">
      <w:start w:val="1"/>
      <w:numFmt w:val="bullet"/>
      <w:lvlText w:val=""/>
      <w:lvlJc w:val="left"/>
      <w:pPr>
        <w:ind w:left="3744" w:hanging="432"/>
      </w:pPr>
      <w:rPr>
        <w:rFonts w:ascii="Symbol" w:hAnsi="Symbol" w:hint="default"/>
      </w:rPr>
    </w:lvl>
    <w:lvl w:ilvl="8">
      <w:start w:val="1"/>
      <w:numFmt w:val="bullet"/>
      <w:lvlText w:val=""/>
      <w:lvlJc w:val="left"/>
      <w:pPr>
        <w:ind w:left="4176" w:hanging="432"/>
      </w:pPr>
      <w:rPr>
        <w:rFonts w:ascii="Symbol" w:hAnsi="Symbol" w:hint="default"/>
      </w:rPr>
    </w:lvl>
  </w:abstractNum>
  <w:abstractNum w:abstractNumId="10">
    <w:nsid w:val="2AA5455B"/>
    <w:multiLevelType w:val="multilevel"/>
    <w:tmpl w:val="67F0C0C4"/>
    <w:numStyleLink w:val="CnAListBullets"/>
  </w:abstractNum>
  <w:abstractNum w:abstractNumId="11">
    <w:nsid w:val="37F7497B"/>
    <w:multiLevelType w:val="multilevel"/>
    <w:tmpl w:val="67F0C0C4"/>
    <w:numStyleLink w:val="CnAListBullets"/>
  </w:abstractNum>
  <w:abstractNum w:abstractNumId="12">
    <w:nsid w:val="3E02072E"/>
    <w:multiLevelType w:val="hybridMultilevel"/>
    <w:tmpl w:val="C36CA8F6"/>
    <w:lvl w:ilvl="0" w:tplc="04090001">
      <w:start w:val="1"/>
      <w:numFmt w:val="bullet"/>
      <w:lvlText w:val=""/>
      <w:lvlJc w:val="left"/>
      <w:pPr>
        <w:ind w:left="720" w:hanging="360"/>
      </w:pPr>
      <w:rPr>
        <w:rFonts w:ascii="Symbol" w:hAnsi="Symbol" w:hint="default"/>
      </w:rPr>
    </w:lvl>
    <w:lvl w:ilvl="1" w:tplc="DBACE5CC">
      <w:start w:val="1"/>
      <w:numFmt w:val="bullet"/>
      <w:lvlText w:val="–"/>
      <w:lvlJc w:val="left"/>
      <w:pPr>
        <w:ind w:left="1440" w:hanging="360"/>
      </w:pPr>
      <w:rPr>
        <w:rFonts w:ascii="Times New Roman" w:hAnsi="Times New Roman" w:cs="Times New Roman"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531FFD"/>
    <w:multiLevelType w:val="multilevel"/>
    <w:tmpl w:val="67F0C0C4"/>
    <w:numStyleLink w:val="CnAListBullets"/>
  </w:abstractNum>
  <w:abstractNum w:abstractNumId="14">
    <w:nsid w:val="46FA3679"/>
    <w:multiLevelType w:val="hybridMultilevel"/>
    <w:tmpl w:val="0FD607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7D13A8"/>
    <w:multiLevelType w:val="hybridMultilevel"/>
    <w:tmpl w:val="79261FD8"/>
    <w:lvl w:ilvl="0" w:tplc="04090001">
      <w:start w:val="1"/>
      <w:numFmt w:val="bullet"/>
      <w:lvlText w:val=""/>
      <w:lvlJc w:val="left"/>
      <w:pPr>
        <w:ind w:left="720" w:hanging="360"/>
      </w:pPr>
      <w:rPr>
        <w:rFonts w:ascii="Symbol" w:hAnsi="Symbol" w:hint="default"/>
      </w:rPr>
    </w:lvl>
    <w:lvl w:ilvl="1" w:tplc="DBACE5CC">
      <w:start w:val="1"/>
      <w:numFmt w:val="bullet"/>
      <w:lvlText w:val="–"/>
      <w:lvlJc w:val="left"/>
      <w:pPr>
        <w:ind w:left="1530" w:hanging="360"/>
      </w:pPr>
      <w:rPr>
        <w:rFonts w:ascii="Times New Roma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926C99"/>
    <w:multiLevelType w:val="hybridMultilevel"/>
    <w:tmpl w:val="E73A4D0E"/>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53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FA2C41"/>
    <w:multiLevelType w:val="hybridMultilevel"/>
    <w:tmpl w:val="083EB48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4F20F22"/>
    <w:multiLevelType w:val="multilevel"/>
    <w:tmpl w:val="67F0C0C4"/>
    <w:numStyleLink w:val="CnAListBullets"/>
  </w:abstractNum>
  <w:abstractNum w:abstractNumId="19">
    <w:nsid w:val="55166CF1"/>
    <w:multiLevelType w:val="multilevel"/>
    <w:tmpl w:val="67F0C0C4"/>
    <w:numStyleLink w:val="CnAListBullets"/>
  </w:abstractNum>
  <w:abstractNum w:abstractNumId="20">
    <w:nsid w:val="6ABC0982"/>
    <w:multiLevelType w:val="multilevel"/>
    <w:tmpl w:val="04090021"/>
    <w:styleLink w:val="Itron"/>
    <w:lvl w:ilvl="0">
      <w:start w:val="1"/>
      <w:numFmt w:val="bullet"/>
      <w:lvlText w:val=""/>
      <w:lvlJc w:val="left"/>
      <w:pPr>
        <w:ind w:left="1080" w:hanging="360"/>
      </w:pPr>
      <w:rPr>
        <w:rFonts w:ascii="Wingdings" w:hAnsi="Wingdings"/>
      </w:rPr>
    </w:lvl>
    <w:lvl w:ilvl="1">
      <w:start w:val="1"/>
      <w:numFmt w:val="bullet"/>
      <w:lvlText w:val="─"/>
      <w:lvlJc w:val="left"/>
      <w:pPr>
        <w:ind w:left="1800" w:hanging="360"/>
      </w:pPr>
      <w:rPr>
        <w:rFonts w:ascii="Times New Roman" w:hAnsi="Times New Roman" w:cs="Times New Roman" w:hint="default"/>
        <w:b/>
        <w:sz w:val="24"/>
      </w:rPr>
    </w:lvl>
    <w:lvl w:ilvl="2">
      <w:start w:val="1"/>
      <w:numFmt w:val="bullet"/>
      <w:lvlText w:val="-"/>
      <w:lvlJc w:val="left"/>
      <w:pPr>
        <w:ind w:left="2520" w:hanging="360"/>
      </w:pPr>
      <w:rPr>
        <w:rFonts w:ascii="Times New Roman" w:hAnsi="Times New Roman" w:cs="Times New Roman" w:hint="default"/>
        <w:sz w:val="24"/>
      </w:rPr>
    </w:lvl>
    <w:lvl w:ilvl="3">
      <w:start w:val="1"/>
      <w:numFmt w:val="bullet"/>
      <w:lvlText w:val=""/>
      <w:lvlJc w:val="left"/>
      <w:pPr>
        <w:ind w:left="3240" w:hanging="360"/>
      </w:pPr>
      <w:rPr>
        <w:rFonts w:ascii="Symbol" w:hAnsi="Symbol" w:hint="default"/>
      </w:rPr>
    </w:lvl>
    <w:lvl w:ilvl="4">
      <w:start w:val="1"/>
      <w:numFmt w:val="bullet"/>
      <w:lvlText w:val=""/>
      <w:lvlJc w:val="left"/>
      <w:pPr>
        <w:ind w:left="3960" w:hanging="360"/>
      </w:pPr>
      <w:rPr>
        <w:rFonts w:ascii="Symbol" w:hAnsi="Symbol"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Wingdings" w:hAnsi="Wingding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360"/>
      </w:pPr>
      <w:rPr>
        <w:rFonts w:ascii="Symbol" w:hAnsi="Symbol" w:hint="default"/>
      </w:rPr>
    </w:lvl>
  </w:abstractNum>
  <w:abstractNum w:abstractNumId="21">
    <w:nsid w:val="6E895F27"/>
    <w:multiLevelType w:val="multilevel"/>
    <w:tmpl w:val="67F0C0C4"/>
    <w:numStyleLink w:val="CnAListBullets"/>
  </w:abstractNum>
  <w:abstractNum w:abstractNumId="22">
    <w:nsid w:val="76712E40"/>
    <w:multiLevelType w:val="multilevel"/>
    <w:tmpl w:val="67F0C0C4"/>
    <w:numStyleLink w:val="CnAListBullets"/>
  </w:abstractNum>
  <w:num w:numId="1">
    <w:abstractNumId w:val="1"/>
  </w:num>
  <w:num w:numId="2">
    <w:abstractNumId w:val="20"/>
  </w:num>
  <w:num w:numId="3">
    <w:abstractNumId w:val="9"/>
  </w:num>
  <w:num w:numId="4">
    <w:abstractNumId w:val="0"/>
  </w:num>
  <w:num w:numId="5">
    <w:abstractNumId w:val="12"/>
  </w:num>
  <w:num w:numId="6">
    <w:abstractNumId w:val="6"/>
  </w:num>
  <w:num w:numId="7">
    <w:abstractNumId w:val="17"/>
  </w:num>
  <w:num w:numId="8">
    <w:abstractNumId w:val="16"/>
  </w:num>
  <w:num w:numId="9">
    <w:abstractNumId w:val="15"/>
  </w:num>
  <w:num w:numId="10">
    <w:abstractNumId w:val="8"/>
  </w:num>
  <w:num w:numId="11">
    <w:abstractNumId w:val="14"/>
  </w:num>
  <w:num w:numId="12">
    <w:abstractNumId w:val="7"/>
  </w:num>
  <w:num w:numId="13">
    <w:abstractNumId w:val="21"/>
  </w:num>
  <w:num w:numId="14">
    <w:abstractNumId w:val="10"/>
  </w:num>
  <w:num w:numId="15">
    <w:abstractNumId w:val="4"/>
  </w:num>
  <w:num w:numId="16">
    <w:abstractNumId w:val="3"/>
  </w:num>
  <w:num w:numId="17">
    <w:abstractNumId w:val="18"/>
  </w:num>
  <w:num w:numId="18">
    <w:abstractNumId w:val="11"/>
  </w:num>
  <w:num w:numId="19">
    <w:abstractNumId w:val="13"/>
  </w:num>
  <w:num w:numId="20">
    <w:abstractNumId w:val="19"/>
  </w:num>
  <w:num w:numId="21">
    <w:abstractNumId w:val="22"/>
  </w:num>
  <w:num w:numId="22">
    <w:abstractNumId w:val="2"/>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defaultTabStop w:val="720"/>
  <w:doNotHyphenateCaps/>
  <w:drawingGridHorizontalSpacing w:val="120"/>
  <w:drawingGridVerticalSpacing w:val="163"/>
  <w:displayHorizontalDrawingGridEvery w:val="0"/>
  <w:displayVerticalDrawingGridEvery w:val="2"/>
  <w:doNotShadeFormData/>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A749A"/>
    <w:rsid w:val="0000112E"/>
    <w:rsid w:val="00017D18"/>
    <w:rsid w:val="00022F17"/>
    <w:rsid w:val="00046721"/>
    <w:rsid w:val="00052F77"/>
    <w:rsid w:val="00062F0C"/>
    <w:rsid w:val="0007312F"/>
    <w:rsid w:val="00075645"/>
    <w:rsid w:val="00077287"/>
    <w:rsid w:val="00077A05"/>
    <w:rsid w:val="00080D0E"/>
    <w:rsid w:val="00083C96"/>
    <w:rsid w:val="00095F46"/>
    <w:rsid w:val="00096103"/>
    <w:rsid w:val="000A3032"/>
    <w:rsid w:val="000A7D1B"/>
    <w:rsid w:val="000B2A04"/>
    <w:rsid w:val="000B2BEB"/>
    <w:rsid w:val="000B7149"/>
    <w:rsid w:val="000B731D"/>
    <w:rsid w:val="000C6631"/>
    <w:rsid w:val="000D688E"/>
    <w:rsid w:val="000E33EC"/>
    <w:rsid w:val="000E539F"/>
    <w:rsid w:val="000F41A3"/>
    <w:rsid w:val="000F6968"/>
    <w:rsid w:val="001116CE"/>
    <w:rsid w:val="0011319A"/>
    <w:rsid w:val="001209E4"/>
    <w:rsid w:val="00127A71"/>
    <w:rsid w:val="00131230"/>
    <w:rsid w:val="00134FF9"/>
    <w:rsid w:val="00137D72"/>
    <w:rsid w:val="00150886"/>
    <w:rsid w:val="00157EA9"/>
    <w:rsid w:val="00166A00"/>
    <w:rsid w:val="001700C4"/>
    <w:rsid w:val="00170424"/>
    <w:rsid w:val="001712B1"/>
    <w:rsid w:val="00172BCF"/>
    <w:rsid w:val="001835B5"/>
    <w:rsid w:val="001A749A"/>
    <w:rsid w:val="001B177F"/>
    <w:rsid w:val="001C005E"/>
    <w:rsid w:val="001D00C9"/>
    <w:rsid w:val="001E0716"/>
    <w:rsid w:val="001E1426"/>
    <w:rsid w:val="001E32AE"/>
    <w:rsid w:val="001E7BE2"/>
    <w:rsid w:val="00205160"/>
    <w:rsid w:val="002176F8"/>
    <w:rsid w:val="0022644C"/>
    <w:rsid w:val="0022711E"/>
    <w:rsid w:val="00230BF7"/>
    <w:rsid w:val="00231D0B"/>
    <w:rsid w:val="00231EB1"/>
    <w:rsid w:val="00246847"/>
    <w:rsid w:val="00247593"/>
    <w:rsid w:val="00260180"/>
    <w:rsid w:val="002663FA"/>
    <w:rsid w:val="00275841"/>
    <w:rsid w:val="00282424"/>
    <w:rsid w:val="002876DA"/>
    <w:rsid w:val="0029172D"/>
    <w:rsid w:val="00292F27"/>
    <w:rsid w:val="00295575"/>
    <w:rsid w:val="0029764D"/>
    <w:rsid w:val="002A324A"/>
    <w:rsid w:val="002B07BD"/>
    <w:rsid w:val="002B2A5B"/>
    <w:rsid w:val="002B3E58"/>
    <w:rsid w:val="002B7BCD"/>
    <w:rsid w:val="002C327C"/>
    <w:rsid w:val="002C7AFB"/>
    <w:rsid w:val="002D0303"/>
    <w:rsid w:val="002D09B6"/>
    <w:rsid w:val="002E13A2"/>
    <w:rsid w:val="002F778B"/>
    <w:rsid w:val="00303741"/>
    <w:rsid w:val="00315C37"/>
    <w:rsid w:val="00317ED5"/>
    <w:rsid w:val="00321B5F"/>
    <w:rsid w:val="00322EFB"/>
    <w:rsid w:val="003240BC"/>
    <w:rsid w:val="003255E0"/>
    <w:rsid w:val="003460F2"/>
    <w:rsid w:val="00346291"/>
    <w:rsid w:val="00383775"/>
    <w:rsid w:val="003903AD"/>
    <w:rsid w:val="0039545D"/>
    <w:rsid w:val="00396490"/>
    <w:rsid w:val="00396ACB"/>
    <w:rsid w:val="003A2080"/>
    <w:rsid w:val="003A3041"/>
    <w:rsid w:val="003B15C1"/>
    <w:rsid w:val="003B2233"/>
    <w:rsid w:val="003B2EC3"/>
    <w:rsid w:val="003D0FBE"/>
    <w:rsid w:val="003E1694"/>
    <w:rsid w:val="003E6290"/>
    <w:rsid w:val="003E7E58"/>
    <w:rsid w:val="003F505C"/>
    <w:rsid w:val="003F678D"/>
    <w:rsid w:val="003F72DE"/>
    <w:rsid w:val="00400DF8"/>
    <w:rsid w:val="00412B93"/>
    <w:rsid w:val="00415F0C"/>
    <w:rsid w:val="0041674A"/>
    <w:rsid w:val="004206B1"/>
    <w:rsid w:val="00423113"/>
    <w:rsid w:val="00427454"/>
    <w:rsid w:val="0043551E"/>
    <w:rsid w:val="00440479"/>
    <w:rsid w:val="004409B2"/>
    <w:rsid w:val="004413A6"/>
    <w:rsid w:val="004470C0"/>
    <w:rsid w:val="00455856"/>
    <w:rsid w:val="004677F0"/>
    <w:rsid w:val="00467A6A"/>
    <w:rsid w:val="00471182"/>
    <w:rsid w:val="0047130C"/>
    <w:rsid w:val="004819BB"/>
    <w:rsid w:val="00485477"/>
    <w:rsid w:val="00494A46"/>
    <w:rsid w:val="0049581E"/>
    <w:rsid w:val="004B0FCC"/>
    <w:rsid w:val="004B46F8"/>
    <w:rsid w:val="004C2A7B"/>
    <w:rsid w:val="004C7495"/>
    <w:rsid w:val="004E058C"/>
    <w:rsid w:val="004E0AD6"/>
    <w:rsid w:val="00504C46"/>
    <w:rsid w:val="00504CD6"/>
    <w:rsid w:val="00511C05"/>
    <w:rsid w:val="0051231B"/>
    <w:rsid w:val="00512352"/>
    <w:rsid w:val="0051415D"/>
    <w:rsid w:val="00521A5F"/>
    <w:rsid w:val="00521A9C"/>
    <w:rsid w:val="00522271"/>
    <w:rsid w:val="00541DA8"/>
    <w:rsid w:val="005528D8"/>
    <w:rsid w:val="00552C8F"/>
    <w:rsid w:val="0055720C"/>
    <w:rsid w:val="00557A79"/>
    <w:rsid w:val="00565425"/>
    <w:rsid w:val="00565D8A"/>
    <w:rsid w:val="00570D85"/>
    <w:rsid w:val="00573DEC"/>
    <w:rsid w:val="00576ABD"/>
    <w:rsid w:val="00580BAD"/>
    <w:rsid w:val="00584BE1"/>
    <w:rsid w:val="0059308D"/>
    <w:rsid w:val="005939CC"/>
    <w:rsid w:val="005947E7"/>
    <w:rsid w:val="005B0772"/>
    <w:rsid w:val="005B6337"/>
    <w:rsid w:val="005D1945"/>
    <w:rsid w:val="005D4FC7"/>
    <w:rsid w:val="005D5666"/>
    <w:rsid w:val="005D596C"/>
    <w:rsid w:val="005D5C68"/>
    <w:rsid w:val="005D6944"/>
    <w:rsid w:val="005F3293"/>
    <w:rsid w:val="00603EEC"/>
    <w:rsid w:val="00610378"/>
    <w:rsid w:val="00611906"/>
    <w:rsid w:val="006232E8"/>
    <w:rsid w:val="00624764"/>
    <w:rsid w:val="00634569"/>
    <w:rsid w:val="0063763A"/>
    <w:rsid w:val="00655FDC"/>
    <w:rsid w:val="00657787"/>
    <w:rsid w:val="0066077B"/>
    <w:rsid w:val="00661D8A"/>
    <w:rsid w:val="006711A7"/>
    <w:rsid w:val="00680A5D"/>
    <w:rsid w:val="0068149D"/>
    <w:rsid w:val="00682A57"/>
    <w:rsid w:val="006A4B7C"/>
    <w:rsid w:val="006A645F"/>
    <w:rsid w:val="006A6EC1"/>
    <w:rsid w:val="006B7229"/>
    <w:rsid w:val="006C0097"/>
    <w:rsid w:val="006C080F"/>
    <w:rsid w:val="006C736B"/>
    <w:rsid w:val="00702D36"/>
    <w:rsid w:val="00706638"/>
    <w:rsid w:val="007113FC"/>
    <w:rsid w:val="00713963"/>
    <w:rsid w:val="00713C2E"/>
    <w:rsid w:val="007141BD"/>
    <w:rsid w:val="00715736"/>
    <w:rsid w:val="007209FF"/>
    <w:rsid w:val="007316AA"/>
    <w:rsid w:val="00742AD6"/>
    <w:rsid w:val="0075159F"/>
    <w:rsid w:val="00754694"/>
    <w:rsid w:val="00754D3E"/>
    <w:rsid w:val="00757B62"/>
    <w:rsid w:val="00763661"/>
    <w:rsid w:val="00775E7E"/>
    <w:rsid w:val="00777A7C"/>
    <w:rsid w:val="007818AA"/>
    <w:rsid w:val="00781F98"/>
    <w:rsid w:val="00783EDA"/>
    <w:rsid w:val="00786C11"/>
    <w:rsid w:val="00790A7E"/>
    <w:rsid w:val="007B1B87"/>
    <w:rsid w:val="007B4132"/>
    <w:rsid w:val="007C08F8"/>
    <w:rsid w:val="007C6F54"/>
    <w:rsid w:val="007C76D6"/>
    <w:rsid w:val="007D4138"/>
    <w:rsid w:val="007D5D84"/>
    <w:rsid w:val="007E1A0E"/>
    <w:rsid w:val="007F13DC"/>
    <w:rsid w:val="007F2229"/>
    <w:rsid w:val="0080485B"/>
    <w:rsid w:val="0081057C"/>
    <w:rsid w:val="008111FE"/>
    <w:rsid w:val="00811304"/>
    <w:rsid w:val="00817DEE"/>
    <w:rsid w:val="00826D05"/>
    <w:rsid w:val="008472D8"/>
    <w:rsid w:val="00854364"/>
    <w:rsid w:val="00857BBF"/>
    <w:rsid w:val="00857C72"/>
    <w:rsid w:val="00863E7F"/>
    <w:rsid w:val="008646A2"/>
    <w:rsid w:val="008711B4"/>
    <w:rsid w:val="00874650"/>
    <w:rsid w:val="00875025"/>
    <w:rsid w:val="00877628"/>
    <w:rsid w:val="008873D0"/>
    <w:rsid w:val="0089278A"/>
    <w:rsid w:val="0089429D"/>
    <w:rsid w:val="0089570F"/>
    <w:rsid w:val="008A271C"/>
    <w:rsid w:val="008B41B1"/>
    <w:rsid w:val="008C3DA3"/>
    <w:rsid w:val="008D7823"/>
    <w:rsid w:val="008E2E63"/>
    <w:rsid w:val="008E45F8"/>
    <w:rsid w:val="008F6F18"/>
    <w:rsid w:val="009073D1"/>
    <w:rsid w:val="0091065E"/>
    <w:rsid w:val="00910D49"/>
    <w:rsid w:val="00915976"/>
    <w:rsid w:val="00916B33"/>
    <w:rsid w:val="00942508"/>
    <w:rsid w:val="009558AE"/>
    <w:rsid w:val="009653E8"/>
    <w:rsid w:val="00990F68"/>
    <w:rsid w:val="009938F4"/>
    <w:rsid w:val="00997CDD"/>
    <w:rsid w:val="009A4721"/>
    <w:rsid w:val="009A749A"/>
    <w:rsid w:val="009B0AFF"/>
    <w:rsid w:val="009B0D60"/>
    <w:rsid w:val="009C3564"/>
    <w:rsid w:val="009C3FE7"/>
    <w:rsid w:val="009D0319"/>
    <w:rsid w:val="009D290C"/>
    <w:rsid w:val="009D5588"/>
    <w:rsid w:val="009D5A70"/>
    <w:rsid w:val="009E150B"/>
    <w:rsid w:val="009E310F"/>
    <w:rsid w:val="009F7172"/>
    <w:rsid w:val="00A122CC"/>
    <w:rsid w:val="00A12B0C"/>
    <w:rsid w:val="00A12C80"/>
    <w:rsid w:val="00A14F37"/>
    <w:rsid w:val="00A240A6"/>
    <w:rsid w:val="00A31B8F"/>
    <w:rsid w:val="00A365BC"/>
    <w:rsid w:val="00A401DE"/>
    <w:rsid w:val="00A44E26"/>
    <w:rsid w:val="00A50622"/>
    <w:rsid w:val="00A715DD"/>
    <w:rsid w:val="00AA385B"/>
    <w:rsid w:val="00AA75FC"/>
    <w:rsid w:val="00AF01F7"/>
    <w:rsid w:val="00AF77F2"/>
    <w:rsid w:val="00B033DB"/>
    <w:rsid w:val="00B05AD1"/>
    <w:rsid w:val="00B10F96"/>
    <w:rsid w:val="00B149F5"/>
    <w:rsid w:val="00B17EED"/>
    <w:rsid w:val="00B21A11"/>
    <w:rsid w:val="00B21CFB"/>
    <w:rsid w:val="00B30FAF"/>
    <w:rsid w:val="00B332C5"/>
    <w:rsid w:val="00B35DD3"/>
    <w:rsid w:val="00B46793"/>
    <w:rsid w:val="00B47148"/>
    <w:rsid w:val="00B50E5D"/>
    <w:rsid w:val="00B543DD"/>
    <w:rsid w:val="00B625FD"/>
    <w:rsid w:val="00B65F49"/>
    <w:rsid w:val="00B66B8D"/>
    <w:rsid w:val="00B75DB8"/>
    <w:rsid w:val="00B821A0"/>
    <w:rsid w:val="00B901AA"/>
    <w:rsid w:val="00BA106C"/>
    <w:rsid w:val="00BB1163"/>
    <w:rsid w:val="00BB4819"/>
    <w:rsid w:val="00BC6C08"/>
    <w:rsid w:val="00BD7911"/>
    <w:rsid w:val="00BE68D1"/>
    <w:rsid w:val="00BF0F9F"/>
    <w:rsid w:val="00BF6708"/>
    <w:rsid w:val="00C030F3"/>
    <w:rsid w:val="00C07173"/>
    <w:rsid w:val="00C13BB5"/>
    <w:rsid w:val="00C40245"/>
    <w:rsid w:val="00C47AFD"/>
    <w:rsid w:val="00C8408E"/>
    <w:rsid w:val="00C85E22"/>
    <w:rsid w:val="00C87E1B"/>
    <w:rsid w:val="00C90C1B"/>
    <w:rsid w:val="00C96282"/>
    <w:rsid w:val="00CA4418"/>
    <w:rsid w:val="00CA4CA6"/>
    <w:rsid w:val="00CA75C7"/>
    <w:rsid w:val="00CB518B"/>
    <w:rsid w:val="00CB5444"/>
    <w:rsid w:val="00CC1E01"/>
    <w:rsid w:val="00CC7063"/>
    <w:rsid w:val="00CD4193"/>
    <w:rsid w:val="00CE79E7"/>
    <w:rsid w:val="00CF4860"/>
    <w:rsid w:val="00CF636B"/>
    <w:rsid w:val="00D064A7"/>
    <w:rsid w:val="00D06F36"/>
    <w:rsid w:val="00D21F89"/>
    <w:rsid w:val="00D227FE"/>
    <w:rsid w:val="00D40897"/>
    <w:rsid w:val="00D51169"/>
    <w:rsid w:val="00D5135F"/>
    <w:rsid w:val="00D51ADE"/>
    <w:rsid w:val="00D72BF2"/>
    <w:rsid w:val="00D74F17"/>
    <w:rsid w:val="00D75FFB"/>
    <w:rsid w:val="00D833E2"/>
    <w:rsid w:val="00D842FF"/>
    <w:rsid w:val="00D9409A"/>
    <w:rsid w:val="00DA04B7"/>
    <w:rsid w:val="00DA4853"/>
    <w:rsid w:val="00DB3C51"/>
    <w:rsid w:val="00DB570B"/>
    <w:rsid w:val="00DC1564"/>
    <w:rsid w:val="00DC1DD9"/>
    <w:rsid w:val="00DC29FF"/>
    <w:rsid w:val="00DE0FDA"/>
    <w:rsid w:val="00DE3651"/>
    <w:rsid w:val="00DE3FD7"/>
    <w:rsid w:val="00DE632E"/>
    <w:rsid w:val="00E156D2"/>
    <w:rsid w:val="00E158E9"/>
    <w:rsid w:val="00E175C3"/>
    <w:rsid w:val="00E23ECD"/>
    <w:rsid w:val="00E251FF"/>
    <w:rsid w:val="00E37D92"/>
    <w:rsid w:val="00E450CF"/>
    <w:rsid w:val="00E54C96"/>
    <w:rsid w:val="00E560B6"/>
    <w:rsid w:val="00E67904"/>
    <w:rsid w:val="00E71D84"/>
    <w:rsid w:val="00E752DF"/>
    <w:rsid w:val="00E76A91"/>
    <w:rsid w:val="00E86B02"/>
    <w:rsid w:val="00E86B64"/>
    <w:rsid w:val="00EB2094"/>
    <w:rsid w:val="00EB5E29"/>
    <w:rsid w:val="00EB702D"/>
    <w:rsid w:val="00EC459F"/>
    <w:rsid w:val="00EC7103"/>
    <w:rsid w:val="00ED1F77"/>
    <w:rsid w:val="00ED70B2"/>
    <w:rsid w:val="00EF252A"/>
    <w:rsid w:val="00EF45A4"/>
    <w:rsid w:val="00F126C3"/>
    <w:rsid w:val="00F21DB5"/>
    <w:rsid w:val="00F24371"/>
    <w:rsid w:val="00F25699"/>
    <w:rsid w:val="00F30170"/>
    <w:rsid w:val="00F3759B"/>
    <w:rsid w:val="00F4050E"/>
    <w:rsid w:val="00F4292B"/>
    <w:rsid w:val="00F42A2D"/>
    <w:rsid w:val="00F4485E"/>
    <w:rsid w:val="00F4668F"/>
    <w:rsid w:val="00F5676A"/>
    <w:rsid w:val="00F60F5F"/>
    <w:rsid w:val="00F634D6"/>
    <w:rsid w:val="00F63D68"/>
    <w:rsid w:val="00F70106"/>
    <w:rsid w:val="00F8041D"/>
    <w:rsid w:val="00F87DBB"/>
    <w:rsid w:val="00F9623A"/>
    <w:rsid w:val="00FB47D7"/>
    <w:rsid w:val="00FC3FF9"/>
    <w:rsid w:val="00FC718E"/>
    <w:rsid w:val="00FD0772"/>
    <w:rsid w:val="00FE1012"/>
    <w:rsid w:val="00FF47F4"/>
    <w:rsid w:val="00FF4B69"/>
    <w:rsid w:val="00FF5474"/>
    <w:rsid w:val="00FF66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en-US" w:eastAsia="en-US" w:bidi="ar-SA"/>
      </w:rPr>
    </w:rPrDefault>
    <w:pPrDefault>
      <w:pPr>
        <w:spacing w:after="130" w:line="320" w:lineRule="atLeast"/>
        <w:ind w:left="720" w:hanging="432"/>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table of figures" w:uiPriority="99"/>
    <w:lsdException w:name="annotation reference" w:uiPriority="99"/>
    <w:lsdException w:name="Title" w:uiPriority="10" w:qFormat="1"/>
    <w:lsdException w:name="Default Paragraph Font" w:uiPriority="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749A"/>
    <w:pPr>
      <w:spacing w:after="280"/>
      <w:ind w:left="0" w:firstLine="0"/>
    </w:pPr>
    <w:rPr>
      <w:rFonts w:ascii="Times New Roman" w:hAnsi="Times New Roman"/>
      <w:sz w:val="24"/>
      <w:szCs w:val="24"/>
    </w:rPr>
  </w:style>
  <w:style w:type="paragraph" w:styleId="Heading1">
    <w:name w:val="heading 1"/>
    <w:basedOn w:val="Normal"/>
    <w:next w:val="Normal"/>
    <w:qFormat/>
    <w:rsid w:val="00DE632E"/>
    <w:pPr>
      <w:keepNext/>
      <w:numPr>
        <w:numId w:val="1"/>
      </w:numPr>
      <w:pBdr>
        <w:bottom w:val="single" w:sz="12" w:space="26" w:color="auto"/>
      </w:pBdr>
      <w:spacing w:after="240"/>
      <w:jc w:val="left"/>
      <w:outlineLvl w:val="0"/>
    </w:pPr>
    <w:rPr>
      <w:rFonts w:ascii="Arial" w:hAnsi="Arial" w:cs="Arial"/>
      <w:b/>
      <w:bCs/>
      <w:sz w:val="36"/>
      <w:szCs w:val="36"/>
    </w:rPr>
  </w:style>
  <w:style w:type="paragraph" w:styleId="Heading2">
    <w:name w:val="heading 2"/>
    <w:basedOn w:val="Normal"/>
    <w:next w:val="Normal"/>
    <w:qFormat/>
    <w:rsid w:val="00077A05"/>
    <w:pPr>
      <w:keepNext/>
      <w:numPr>
        <w:ilvl w:val="1"/>
        <w:numId w:val="1"/>
      </w:numPr>
      <w:spacing w:before="480" w:after="180"/>
      <w:jc w:val="left"/>
      <w:outlineLvl w:val="1"/>
    </w:pPr>
    <w:rPr>
      <w:rFonts w:ascii="Arial" w:eastAsiaTheme="minorHAnsi" w:hAnsi="Arial" w:cs="Arial"/>
      <w:b/>
      <w:bCs/>
      <w:sz w:val="28"/>
      <w:szCs w:val="28"/>
    </w:rPr>
  </w:style>
  <w:style w:type="paragraph" w:styleId="Heading3">
    <w:name w:val="heading 3"/>
    <w:basedOn w:val="Normal"/>
    <w:next w:val="Normal"/>
    <w:autoRedefine/>
    <w:qFormat/>
    <w:rsid w:val="00DE632E"/>
    <w:pPr>
      <w:keepNext/>
      <w:numPr>
        <w:ilvl w:val="2"/>
        <w:numId w:val="1"/>
      </w:numPr>
      <w:spacing w:after="180" w:line="240" w:lineRule="auto"/>
      <w:jc w:val="left"/>
      <w:outlineLvl w:val="2"/>
    </w:pPr>
    <w:rPr>
      <w:rFonts w:ascii="Arial" w:hAnsi="Arial" w:cs="Arial"/>
      <w:b/>
      <w:bCs/>
      <w:i/>
      <w:iCs/>
    </w:rPr>
  </w:style>
  <w:style w:type="paragraph" w:styleId="Heading4">
    <w:name w:val="heading 4"/>
    <w:basedOn w:val="Normal"/>
    <w:next w:val="Normal"/>
    <w:qFormat/>
    <w:rsid w:val="00DE632E"/>
    <w:pPr>
      <w:keepNext/>
      <w:keepLines/>
      <w:numPr>
        <w:ilvl w:val="3"/>
        <w:numId w:val="1"/>
      </w:numPr>
      <w:spacing w:after="180"/>
      <w:jc w:val="left"/>
      <w:outlineLvl w:val="3"/>
    </w:pPr>
    <w:rPr>
      <w:b/>
      <w:i/>
      <w:iCs/>
      <w:u w:val="single"/>
    </w:rPr>
  </w:style>
  <w:style w:type="paragraph" w:styleId="Heading5">
    <w:name w:val="heading 5"/>
    <w:basedOn w:val="Normal"/>
    <w:next w:val="Normal"/>
    <w:qFormat/>
    <w:rsid w:val="00DE632E"/>
    <w:pPr>
      <w:keepNext/>
      <w:keepLines/>
      <w:numPr>
        <w:ilvl w:val="4"/>
        <w:numId w:val="1"/>
      </w:numPr>
      <w:outlineLvl w:val="4"/>
    </w:pPr>
    <w:rPr>
      <w:rFonts w:cs="Arial"/>
      <w:bCs/>
      <w:i/>
      <w:u w:val="single"/>
    </w:rPr>
  </w:style>
  <w:style w:type="paragraph" w:styleId="Heading6">
    <w:name w:val="heading 6"/>
    <w:basedOn w:val="Heading1"/>
    <w:next w:val="Normal"/>
    <w:qFormat/>
    <w:rsid w:val="00D842FF"/>
    <w:pPr>
      <w:numPr>
        <w:ilvl w:val="5"/>
      </w:numPr>
      <w:pBdr>
        <w:bottom w:val="none" w:sz="0" w:space="0" w:color="auto"/>
      </w:pBdr>
      <w:tabs>
        <w:tab w:val="left" w:pos="2880"/>
      </w:tabs>
      <w:spacing w:after="120"/>
      <w:outlineLvl w:val="5"/>
    </w:pPr>
    <w:rPr>
      <w:rFonts w:ascii="Times New Roman" w:hAnsi="Times New Roman"/>
      <w:sz w:val="24"/>
      <w:szCs w:val="24"/>
    </w:rPr>
  </w:style>
  <w:style w:type="paragraph" w:styleId="Heading7">
    <w:name w:val="heading 7"/>
    <w:basedOn w:val="Heading1"/>
    <w:next w:val="Normal"/>
    <w:qFormat/>
    <w:rsid w:val="00D842FF"/>
    <w:pPr>
      <w:numPr>
        <w:ilvl w:val="6"/>
      </w:numPr>
      <w:tabs>
        <w:tab w:val="left" w:pos="3456"/>
      </w:tabs>
      <w:outlineLvl w:val="6"/>
    </w:pPr>
  </w:style>
  <w:style w:type="paragraph" w:styleId="Heading8">
    <w:name w:val="heading 8"/>
    <w:basedOn w:val="Normal"/>
    <w:next w:val="Normal"/>
    <w:qFormat/>
    <w:rsid w:val="00DE632E"/>
    <w:pPr>
      <w:numPr>
        <w:ilvl w:val="7"/>
        <w:numId w:val="1"/>
      </w:numPr>
      <w:outlineLvl w:val="7"/>
    </w:pPr>
    <w:rPr>
      <w:rFonts w:ascii="Tms Rmn" w:hAnsi="Tms Rmn"/>
      <w:i/>
      <w:iCs/>
      <w:sz w:val="20"/>
      <w:szCs w:val="20"/>
    </w:rPr>
  </w:style>
  <w:style w:type="paragraph" w:styleId="Heading9">
    <w:name w:val="heading 9"/>
    <w:basedOn w:val="Normal"/>
    <w:next w:val="Normal"/>
    <w:qFormat/>
    <w:rsid w:val="00DE632E"/>
    <w:pPr>
      <w:numPr>
        <w:ilvl w:val="8"/>
        <w:numId w:val="1"/>
      </w:numPr>
      <w:outlineLvl w:val="8"/>
    </w:pPr>
    <w:rPr>
      <w:rFonts w:ascii="Tms Rmn" w:hAnsi="Tms Rm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J">
    <w:name w:val="pJ"/>
    <w:next w:val="Normal"/>
    <w:rsid w:val="00D842FF"/>
    <w:rPr>
      <w:rFonts w:ascii="Times New Roman" w:hAnsi="Times New Roman"/>
      <w:sz w:val="24"/>
      <w:szCs w:val="24"/>
    </w:rPr>
  </w:style>
  <w:style w:type="paragraph" w:customStyle="1" w:styleId="pB">
    <w:name w:val="pB"/>
    <w:basedOn w:val="Normal"/>
    <w:rsid w:val="0011319A"/>
    <w:pPr>
      <w:tabs>
        <w:tab w:val="left" w:pos="720"/>
        <w:tab w:val="left" w:pos="1080"/>
      </w:tabs>
      <w:ind w:right="288"/>
    </w:pPr>
  </w:style>
  <w:style w:type="paragraph" w:customStyle="1" w:styleId="pF">
    <w:name w:val="pF"/>
    <w:rsid w:val="0011319A"/>
    <w:rPr>
      <w:rFonts w:ascii="Times New Roman" w:hAnsi="Times New Roman"/>
      <w:sz w:val="24"/>
      <w:szCs w:val="24"/>
    </w:rPr>
  </w:style>
  <w:style w:type="paragraph" w:customStyle="1" w:styleId="pS">
    <w:name w:val="pS"/>
    <w:rsid w:val="00D842FF"/>
    <w:pPr>
      <w:tabs>
        <w:tab w:val="left" w:pos="720"/>
        <w:tab w:val="left" w:pos="1080"/>
      </w:tabs>
      <w:ind w:right="288"/>
    </w:pPr>
    <w:rPr>
      <w:rFonts w:ascii="Times New Roman" w:hAnsi="Times New Roman"/>
      <w:sz w:val="24"/>
      <w:szCs w:val="24"/>
    </w:rPr>
  </w:style>
  <w:style w:type="paragraph" w:customStyle="1" w:styleId="pD">
    <w:name w:val="pD"/>
    <w:basedOn w:val="pF"/>
    <w:rsid w:val="00D842FF"/>
    <w:pPr>
      <w:tabs>
        <w:tab w:val="left" w:pos="1152"/>
      </w:tabs>
      <w:spacing w:before="60" w:line="280" w:lineRule="atLeast"/>
      <w:ind w:left="1152" w:right="288"/>
    </w:pPr>
  </w:style>
  <w:style w:type="paragraph" w:customStyle="1" w:styleId="pE">
    <w:name w:val="pE"/>
    <w:basedOn w:val="pD"/>
    <w:rsid w:val="00D842FF"/>
    <w:pPr>
      <w:tabs>
        <w:tab w:val="clear" w:pos="1152"/>
      </w:tabs>
      <w:spacing w:line="240" w:lineRule="atLeast"/>
      <w:ind w:left="1440" w:hanging="288"/>
    </w:pPr>
  </w:style>
  <w:style w:type="paragraph" w:styleId="Header">
    <w:name w:val="header"/>
    <w:basedOn w:val="pF"/>
    <w:rsid w:val="009D0319"/>
    <w:pPr>
      <w:pBdr>
        <w:bottom w:val="single" w:sz="12" w:space="1" w:color="auto"/>
      </w:pBdr>
      <w:tabs>
        <w:tab w:val="right" w:pos="9000"/>
      </w:tabs>
      <w:spacing w:after="0"/>
      <w:ind w:left="0" w:firstLine="0"/>
      <w:jc w:val="center"/>
    </w:pPr>
    <w:rPr>
      <w:rFonts w:ascii="Tms Rmn" w:hAnsi="Tms Rmn"/>
      <w:i/>
      <w:iCs/>
    </w:rPr>
  </w:style>
  <w:style w:type="paragraph" w:styleId="Footer">
    <w:name w:val="footer"/>
    <w:basedOn w:val="Header"/>
    <w:rsid w:val="0047130C"/>
    <w:pPr>
      <w:pBdr>
        <w:top w:val="single" w:sz="12" w:space="1" w:color="auto"/>
        <w:bottom w:val="none" w:sz="0" w:space="0" w:color="auto"/>
      </w:pBdr>
      <w:tabs>
        <w:tab w:val="clear" w:pos="9000"/>
        <w:tab w:val="center" w:pos="4680"/>
        <w:tab w:val="right" w:pos="9360"/>
      </w:tabs>
      <w:jc w:val="left"/>
    </w:pPr>
  </w:style>
  <w:style w:type="character" w:styleId="FootnoteReference">
    <w:name w:val="footnote reference"/>
    <w:basedOn w:val="DefaultParagraphFont"/>
    <w:rsid w:val="00D842FF"/>
    <w:rPr>
      <w:position w:val="6"/>
      <w:sz w:val="16"/>
      <w:szCs w:val="16"/>
    </w:rPr>
  </w:style>
  <w:style w:type="paragraph" w:styleId="FootnoteText">
    <w:name w:val="footnote text"/>
    <w:basedOn w:val="Normal"/>
    <w:link w:val="FootnoteTextChar"/>
    <w:autoRedefine/>
    <w:rsid w:val="008646A2"/>
    <w:pPr>
      <w:tabs>
        <w:tab w:val="left" w:pos="288"/>
      </w:tabs>
      <w:spacing w:after="60" w:line="240" w:lineRule="atLeast"/>
      <w:ind w:left="288" w:hanging="288"/>
    </w:pPr>
    <w:rPr>
      <w:rFonts w:ascii="Tms Rmn" w:hAnsi="Tms Rmn"/>
      <w:sz w:val="20"/>
      <w:szCs w:val="20"/>
    </w:rPr>
  </w:style>
  <w:style w:type="paragraph" w:styleId="Index1">
    <w:name w:val="index 1"/>
    <w:basedOn w:val="Normal"/>
    <w:next w:val="Normal"/>
    <w:rsid w:val="00D842FF"/>
    <w:rPr>
      <w:rFonts w:ascii="Tms Rmn" w:hAnsi="Tms Rmn"/>
    </w:rPr>
  </w:style>
  <w:style w:type="paragraph" w:styleId="Index2">
    <w:name w:val="index 2"/>
    <w:basedOn w:val="Normal"/>
    <w:next w:val="Normal"/>
    <w:rsid w:val="00D842FF"/>
    <w:pPr>
      <w:ind w:left="360"/>
    </w:pPr>
    <w:rPr>
      <w:rFonts w:ascii="Tms Rmn" w:hAnsi="Tms Rmn"/>
    </w:rPr>
  </w:style>
  <w:style w:type="paragraph" w:styleId="Index3">
    <w:name w:val="index 3"/>
    <w:basedOn w:val="Normal"/>
    <w:next w:val="Normal"/>
    <w:rsid w:val="00D842FF"/>
    <w:rPr>
      <w:rFonts w:ascii="Tms Rmn" w:hAnsi="Tms Rmn"/>
    </w:rPr>
  </w:style>
  <w:style w:type="paragraph" w:styleId="Index4">
    <w:name w:val="index 4"/>
    <w:basedOn w:val="Normal"/>
    <w:next w:val="Normal"/>
    <w:rsid w:val="00D842FF"/>
    <w:rPr>
      <w:rFonts w:ascii="Tms Rmn" w:hAnsi="Tms Rmn"/>
    </w:rPr>
  </w:style>
  <w:style w:type="paragraph" w:styleId="Index5">
    <w:name w:val="index 5"/>
    <w:basedOn w:val="Normal"/>
    <w:next w:val="Normal"/>
    <w:rsid w:val="00D842FF"/>
    <w:pPr>
      <w:ind w:left="1440"/>
    </w:pPr>
    <w:rPr>
      <w:rFonts w:ascii="Tms Rmn" w:hAnsi="Tms Rmn"/>
    </w:rPr>
  </w:style>
  <w:style w:type="paragraph" w:styleId="Index6">
    <w:name w:val="index 6"/>
    <w:basedOn w:val="Normal"/>
    <w:next w:val="Normal"/>
    <w:rsid w:val="00D842FF"/>
    <w:pPr>
      <w:ind w:left="1800"/>
    </w:pPr>
    <w:rPr>
      <w:rFonts w:ascii="Tms Rmn" w:hAnsi="Tms Rmn"/>
    </w:rPr>
  </w:style>
  <w:style w:type="paragraph" w:styleId="Index7">
    <w:name w:val="index 7"/>
    <w:basedOn w:val="Normal"/>
    <w:next w:val="Normal"/>
    <w:rsid w:val="00D842FF"/>
    <w:pPr>
      <w:ind w:left="2160"/>
    </w:pPr>
    <w:rPr>
      <w:rFonts w:ascii="Tms Rmn" w:hAnsi="Tms Rmn"/>
    </w:rPr>
  </w:style>
  <w:style w:type="paragraph" w:styleId="IndexHeading">
    <w:name w:val="index heading"/>
    <w:basedOn w:val="Normal"/>
    <w:next w:val="Index1"/>
    <w:rsid w:val="00D842FF"/>
    <w:rPr>
      <w:rFonts w:ascii="Tms Rmn" w:hAnsi="Tms Rmn"/>
    </w:rPr>
  </w:style>
  <w:style w:type="character" w:styleId="LineNumber">
    <w:name w:val="line number"/>
    <w:basedOn w:val="DefaultParagraphFont"/>
    <w:rsid w:val="00D842FF"/>
  </w:style>
  <w:style w:type="paragraph" w:customStyle="1" w:styleId="pA">
    <w:name w:val="pA"/>
    <w:rsid w:val="0011319A"/>
    <w:pPr>
      <w:spacing w:line="130" w:lineRule="exact"/>
    </w:pPr>
    <w:rPr>
      <w:rFonts w:ascii="Times New Roman" w:hAnsi="Times New Roman"/>
      <w:sz w:val="24"/>
      <w:szCs w:val="24"/>
    </w:rPr>
  </w:style>
  <w:style w:type="paragraph" w:customStyle="1" w:styleId="pG">
    <w:name w:val="pG"/>
    <w:basedOn w:val="Normal"/>
    <w:rsid w:val="008E2E63"/>
    <w:pPr>
      <w:keepNext/>
      <w:spacing w:after="130"/>
      <w:ind w:left="720" w:hanging="432"/>
    </w:pPr>
    <w:rPr>
      <w:rFonts w:ascii="Arial" w:hAnsi="Arial" w:cs="Arial"/>
      <w:b/>
      <w:bCs/>
    </w:rPr>
  </w:style>
  <w:style w:type="paragraph" w:customStyle="1" w:styleId="pT">
    <w:name w:val="pT"/>
    <w:basedOn w:val="Normal"/>
    <w:rsid w:val="008E2E63"/>
    <w:pPr>
      <w:keepNext/>
      <w:spacing w:after="130"/>
      <w:ind w:left="720" w:hanging="432"/>
    </w:pPr>
    <w:rPr>
      <w:rFonts w:ascii="Arial" w:hAnsi="Arial" w:cs="Arial"/>
      <w:b/>
      <w:bCs/>
    </w:rPr>
  </w:style>
  <w:style w:type="paragraph" w:customStyle="1" w:styleId="pX">
    <w:name w:val="pX"/>
    <w:basedOn w:val="pF"/>
    <w:rsid w:val="00D842FF"/>
    <w:pPr>
      <w:spacing w:line="240" w:lineRule="atLeast"/>
    </w:pPr>
  </w:style>
  <w:style w:type="paragraph" w:customStyle="1" w:styleId="TitlePage">
    <w:name w:val="Title Page"/>
    <w:basedOn w:val="Normal"/>
    <w:rsid w:val="008E2E63"/>
    <w:pPr>
      <w:spacing w:after="130"/>
      <w:ind w:left="1440" w:right="1440" w:hanging="432"/>
      <w:jc w:val="center"/>
    </w:pPr>
    <w:rPr>
      <w:rFonts w:ascii="Arial" w:hAnsi="Arial" w:cs="Arial"/>
      <w:b/>
      <w:bCs/>
      <w:sz w:val="36"/>
      <w:szCs w:val="36"/>
    </w:rPr>
  </w:style>
  <w:style w:type="paragraph" w:styleId="TOC1">
    <w:name w:val="toc 1"/>
    <w:basedOn w:val="pF"/>
    <w:next w:val="Normal"/>
    <w:uiPriority w:val="39"/>
    <w:rsid w:val="00E37D92"/>
    <w:pPr>
      <w:tabs>
        <w:tab w:val="right" w:leader="dot" w:pos="9000"/>
      </w:tabs>
      <w:spacing w:before="120" w:line="240" w:lineRule="auto"/>
      <w:ind w:left="0" w:right="360" w:firstLine="0"/>
    </w:pPr>
    <w:rPr>
      <w:rFonts w:ascii="Arial" w:hAnsi="Arial" w:cs="Arial"/>
      <w:b/>
      <w:bCs/>
    </w:rPr>
  </w:style>
  <w:style w:type="paragraph" w:styleId="TOC2">
    <w:name w:val="toc 2"/>
    <w:basedOn w:val="TOC1"/>
    <w:next w:val="Normal"/>
    <w:uiPriority w:val="39"/>
    <w:rsid w:val="00E37D92"/>
    <w:pPr>
      <w:spacing w:before="0" w:after="0"/>
      <w:ind w:left="864" w:right="720" w:hanging="432"/>
    </w:pPr>
    <w:rPr>
      <w:b w:val="0"/>
      <w:bCs w:val="0"/>
    </w:rPr>
  </w:style>
  <w:style w:type="paragraph" w:styleId="TOC3">
    <w:name w:val="toc 3"/>
    <w:basedOn w:val="TOC1"/>
    <w:uiPriority w:val="39"/>
    <w:rsid w:val="00E37D92"/>
    <w:pPr>
      <w:spacing w:before="0" w:after="0"/>
      <w:ind w:left="1296" w:right="720" w:hanging="432"/>
    </w:pPr>
    <w:rPr>
      <w:b w:val="0"/>
      <w:bCs w:val="0"/>
      <w:i/>
      <w:iCs/>
      <w:sz w:val="20"/>
      <w:szCs w:val="20"/>
    </w:rPr>
  </w:style>
  <w:style w:type="paragraph" w:styleId="TOC4">
    <w:name w:val="toc 4"/>
    <w:basedOn w:val="TOC1"/>
    <w:rsid w:val="00D842FF"/>
    <w:pPr>
      <w:spacing w:before="0" w:after="0"/>
    </w:pPr>
    <w:rPr>
      <w:rFonts w:cs="Times New Roman"/>
      <w:b w:val="0"/>
      <w:bCs w:val="0"/>
      <w:sz w:val="20"/>
      <w:szCs w:val="20"/>
    </w:rPr>
  </w:style>
  <w:style w:type="paragraph" w:styleId="TOC5">
    <w:name w:val="toc 5"/>
    <w:basedOn w:val="TOC4"/>
    <w:next w:val="Normal"/>
    <w:rsid w:val="00D842FF"/>
  </w:style>
  <w:style w:type="paragraph" w:styleId="EnvelopeAddress">
    <w:name w:val="envelope address"/>
    <w:basedOn w:val="Normal"/>
    <w:rsid w:val="00D842FF"/>
    <w:pPr>
      <w:framePr w:w="7920" w:h="1980" w:hRule="exact" w:hSpace="180" w:wrap="auto" w:hAnchor="page" w:xAlign="center" w:yAlign="bottom"/>
      <w:ind w:left="2880"/>
    </w:pPr>
    <w:rPr>
      <w:rFonts w:ascii="Arial Narrow" w:hAnsi="Arial Narrow"/>
      <w:smallCaps/>
    </w:rPr>
  </w:style>
  <w:style w:type="paragraph" w:customStyle="1" w:styleId="Large">
    <w:name w:val="Large"/>
    <w:basedOn w:val="pF"/>
    <w:next w:val="pF"/>
    <w:rsid w:val="00D842FF"/>
    <w:pPr>
      <w:keepNext/>
      <w:spacing w:before="480" w:after="360" w:line="720" w:lineRule="exact"/>
    </w:pPr>
    <w:rPr>
      <w:rFonts w:ascii="Arial" w:hAnsi="Arial" w:cs="Arial"/>
      <w:b/>
      <w:bCs/>
      <w:i/>
      <w:iCs/>
      <w:sz w:val="72"/>
      <w:szCs w:val="72"/>
    </w:rPr>
  </w:style>
  <w:style w:type="paragraph" w:styleId="ListBullet">
    <w:name w:val="List Bullet"/>
    <w:basedOn w:val="Normal"/>
    <w:rsid w:val="00D842FF"/>
    <w:pPr>
      <w:ind w:left="360"/>
    </w:pPr>
  </w:style>
  <w:style w:type="paragraph" w:customStyle="1" w:styleId="pA2">
    <w:name w:val="pA2"/>
    <w:basedOn w:val="pA"/>
    <w:next w:val="pA"/>
    <w:rsid w:val="0011319A"/>
  </w:style>
  <w:style w:type="paragraph" w:styleId="Caption">
    <w:name w:val="caption"/>
    <w:basedOn w:val="Normal"/>
    <w:next w:val="Normal"/>
    <w:autoRedefine/>
    <w:qFormat/>
    <w:rsid w:val="00FF4B69"/>
    <w:pPr>
      <w:keepNext/>
      <w:widowControl w:val="0"/>
      <w:spacing w:before="240" w:after="240" w:line="240" w:lineRule="auto"/>
      <w:jc w:val="left"/>
    </w:pPr>
    <w:rPr>
      <w:rFonts w:ascii="Arial" w:hAnsi="Arial" w:cs="Arial"/>
      <w:b/>
      <w:bCs/>
    </w:rPr>
  </w:style>
  <w:style w:type="paragraph" w:customStyle="1" w:styleId="resumeparagraph">
    <w:name w:val="resume paragraph"/>
    <w:rsid w:val="00D842FF"/>
    <w:pPr>
      <w:spacing w:before="100" w:line="240" w:lineRule="exact"/>
      <w:ind w:hanging="288"/>
    </w:pPr>
    <w:rPr>
      <w:rFonts w:ascii="Times New Roman" w:hAnsi="Times New Roman"/>
      <w:sz w:val="24"/>
      <w:szCs w:val="24"/>
    </w:rPr>
  </w:style>
  <w:style w:type="paragraph" w:customStyle="1" w:styleId="Headline">
    <w:name w:val="Headline"/>
    <w:basedOn w:val="Normal"/>
    <w:rsid w:val="00D842FF"/>
    <w:pPr>
      <w:spacing w:line="240" w:lineRule="auto"/>
    </w:pPr>
    <w:rPr>
      <w:b/>
      <w:bCs/>
      <w:sz w:val="36"/>
      <w:szCs w:val="36"/>
    </w:rPr>
  </w:style>
  <w:style w:type="paragraph" w:customStyle="1" w:styleId="projtitle">
    <w:name w:val="projtitle"/>
    <w:basedOn w:val="Normal"/>
    <w:next w:val="For"/>
    <w:rsid w:val="00D842FF"/>
    <w:pPr>
      <w:keepNext/>
      <w:keepLines/>
      <w:tabs>
        <w:tab w:val="left" w:pos="720"/>
        <w:tab w:val="left" w:pos="1080"/>
      </w:tabs>
      <w:spacing w:line="280" w:lineRule="exact"/>
      <w:ind w:left="288" w:right="288"/>
    </w:pPr>
    <w:rPr>
      <w:b/>
      <w:bCs/>
      <w:i/>
      <w:iCs/>
    </w:rPr>
  </w:style>
  <w:style w:type="paragraph" w:customStyle="1" w:styleId="summary">
    <w:name w:val="summary"/>
    <w:basedOn w:val="pB"/>
    <w:next w:val="projtitle"/>
    <w:rsid w:val="00D842FF"/>
    <w:pPr>
      <w:tabs>
        <w:tab w:val="clear" w:pos="720"/>
        <w:tab w:val="clear" w:pos="1080"/>
        <w:tab w:val="left" w:pos="-1170"/>
      </w:tabs>
      <w:spacing w:after="240"/>
    </w:pPr>
  </w:style>
  <w:style w:type="paragraph" w:customStyle="1" w:styleId="For">
    <w:name w:val="For"/>
    <w:basedOn w:val="Normal"/>
    <w:next w:val="Contact"/>
    <w:rsid w:val="00D842FF"/>
    <w:pPr>
      <w:keepNext/>
      <w:keepLines/>
      <w:tabs>
        <w:tab w:val="left" w:pos="720"/>
        <w:tab w:val="left" w:pos="1080"/>
      </w:tabs>
      <w:spacing w:line="280" w:lineRule="exact"/>
      <w:ind w:left="1152" w:right="288"/>
    </w:pPr>
  </w:style>
  <w:style w:type="paragraph" w:customStyle="1" w:styleId="Contact">
    <w:name w:val="Contact"/>
    <w:basedOn w:val="Normal"/>
    <w:next w:val="summary"/>
    <w:rsid w:val="00D842FF"/>
    <w:pPr>
      <w:keepNext/>
      <w:keepLines/>
      <w:tabs>
        <w:tab w:val="left" w:pos="720"/>
        <w:tab w:val="left" w:pos="1080"/>
      </w:tabs>
      <w:spacing w:line="280" w:lineRule="exact"/>
      <w:ind w:left="1152" w:right="288"/>
    </w:pPr>
  </w:style>
  <w:style w:type="paragraph" w:customStyle="1" w:styleId="question">
    <w:name w:val="question"/>
    <w:basedOn w:val="pF"/>
    <w:rsid w:val="00D842FF"/>
    <w:pPr>
      <w:ind w:hanging="720"/>
    </w:pPr>
  </w:style>
  <w:style w:type="paragraph" w:styleId="TOC6">
    <w:name w:val="toc 6"/>
    <w:basedOn w:val="Normal"/>
    <w:next w:val="Normal"/>
    <w:rsid w:val="00D842FF"/>
    <w:pPr>
      <w:tabs>
        <w:tab w:val="right" w:leader="dot" w:pos="9000"/>
      </w:tabs>
      <w:spacing w:line="240" w:lineRule="auto"/>
      <w:ind w:left="1200"/>
    </w:pPr>
  </w:style>
  <w:style w:type="paragraph" w:customStyle="1" w:styleId="Variabledefinition">
    <w:name w:val="Variable definition"/>
    <w:basedOn w:val="pD"/>
    <w:rsid w:val="00D842FF"/>
    <w:pPr>
      <w:tabs>
        <w:tab w:val="left" w:pos="720"/>
        <w:tab w:val="left" w:pos="1440"/>
        <w:tab w:val="left" w:pos="2160"/>
      </w:tabs>
      <w:ind w:left="2520" w:hanging="1800"/>
    </w:pPr>
    <w:rPr>
      <w:i/>
      <w:iCs/>
    </w:rPr>
  </w:style>
  <w:style w:type="paragraph" w:customStyle="1" w:styleId="tablefootnote">
    <w:name w:val="table footnote"/>
    <w:basedOn w:val="Normal"/>
    <w:link w:val="tablefootnoteChar"/>
    <w:rsid w:val="008E2E63"/>
    <w:pPr>
      <w:keepNext/>
      <w:keepLines/>
      <w:tabs>
        <w:tab w:val="left" w:pos="274"/>
      </w:tabs>
      <w:spacing w:before="60" w:after="0" w:line="240" w:lineRule="auto"/>
      <w:ind w:left="274" w:hanging="274"/>
    </w:pPr>
    <w:rPr>
      <w:sz w:val="20"/>
      <w:szCs w:val="20"/>
    </w:rPr>
  </w:style>
  <w:style w:type="paragraph" w:styleId="TableofFigures">
    <w:name w:val="table of figures"/>
    <w:basedOn w:val="Normal"/>
    <w:next w:val="Normal"/>
    <w:uiPriority w:val="99"/>
    <w:rsid w:val="00F70106"/>
    <w:pPr>
      <w:tabs>
        <w:tab w:val="right" w:leader="dot" w:pos="9000"/>
      </w:tabs>
      <w:spacing w:before="120" w:after="130" w:line="240" w:lineRule="auto"/>
      <w:ind w:left="475" w:right="720" w:hanging="475"/>
    </w:pPr>
    <w:rPr>
      <w:rFonts w:ascii="Arial" w:hAnsi="Arial" w:cs="Arial"/>
    </w:rPr>
  </w:style>
  <w:style w:type="paragraph" w:styleId="BalloonText">
    <w:name w:val="Balloon Text"/>
    <w:basedOn w:val="Normal"/>
    <w:rsid w:val="00D842FF"/>
    <w:rPr>
      <w:rFonts w:ascii="Tahoma" w:hAnsi="Tahoma" w:cs="Tahoma"/>
      <w:sz w:val="16"/>
      <w:szCs w:val="16"/>
    </w:rPr>
  </w:style>
  <w:style w:type="character" w:styleId="CommentReference">
    <w:name w:val="annotation reference"/>
    <w:basedOn w:val="DefaultParagraphFont"/>
    <w:uiPriority w:val="99"/>
    <w:rsid w:val="00D842FF"/>
    <w:rPr>
      <w:sz w:val="16"/>
    </w:rPr>
  </w:style>
  <w:style w:type="paragraph" w:styleId="CommentText">
    <w:name w:val="annotation text"/>
    <w:basedOn w:val="Normal"/>
    <w:link w:val="CommentTextChar"/>
    <w:uiPriority w:val="99"/>
    <w:rsid w:val="00D842FF"/>
    <w:rPr>
      <w:sz w:val="20"/>
      <w:szCs w:val="20"/>
    </w:rPr>
  </w:style>
  <w:style w:type="paragraph" w:styleId="CommentSubject">
    <w:name w:val="annotation subject"/>
    <w:basedOn w:val="CommentText"/>
    <w:next w:val="CommentText"/>
    <w:rsid w:val="00D842FF"/>
    <w:rPr>
      <w:b/>
      <w:bCs/>
    </w:rPr>
  </w:style>
  <w:style w:type="paragraph" w:styleId="DocumentMap">
    <w:name w:val="Document Map"/>
    <w:basedOn w:val="Normal"/>
    <w:rsid w:val="00D842FF"/>
    <w:pPr>
      <w:shd w:val="clear" w:color="auto" w:fill="000080"/>
    </w:pPr>
    <w:rPr>
      <w:rFonts w:ascii="Tahoma" w:hAnsi="Tahoma" w:cs="Tahoma"/>
    </w:rPr>
  </w:style>
  <w:style w:type="character" w:styleId="PageNumber">
    <w:name w:val="page number"/>
    <w:basedOn w:val="DefaultParagraphFont"/>
    <w:rsid w:val="00D842FF"/>
  </w:style>
  <w:style w:type="table" w:styleId="TableGrid">
    <w:name w:val="Table Grid"/>
    <w:basedOn w:val="TableNormal"/>
    <w:uiPriority w:val="59"/>
    <w:rsid w:val="00D842F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TitleSub"/>
    <w:link w:val="TitleChar"/>
    <w:uiPriority w:val="10"/>
    <w:qFormat/>
    <w:rsid w:val="00E251FF"/>
    <w:pPr>
      <w:spacing w:after="0" w:line="240" w:lineRule="auto"/>
      <w:contextualSpacing/>
      <w:jc w:val="right"/>
    </w:pPr>
    <w:rPr>
      <w:rFonts w:ascii="Arial" w:hAnsi="Arial"/>
      <w:b/>
      <w:color w:val="17365D"/>
      <w:spacing w:val="5"/>
      <w:kern w:val="28"/>
      <w:sz w:val="40"/>
      <w:szCs w:val="52"/>
    </w:rPr>
  </w:style>
  <w:style w:type="character" w:styleId="Hyperlink">
    <w:name w:val="Hyperlink"/>
    <w:basedOn w:val="DefaultParagraphFont"/>
    <w:rsid w:val="00D842FF"/>
    <w:rPr>
      <w:color w:val="0000FF"/>
      <w:u w:val="single"/>
    </w:rPr>
  </w:style>
  <w:style w:type="paragraph" w:customStyle="1" w:styleId="CEUSIndent5">
    <w:name w:val="CEUS_Indent5"/>
    <w:basedOn w:val="pE"/>
    <w:rsid w:val="00D842FF"/>
    <w:pPr>
      <w:ind w:left="2070" w:hanging="432"/>
    </w:pPr>
    <w:rPr>
      <w:szCs w:val="20"/>
    </w:rPr>
  </w:style>
  <w:style w:type="paragraph" w:styleId="ListBullet2">
    <w:name w:val="List Bullet 2"/>
    <w:basedOn w:val="Normal"/>
    <w:rsid w:val="00D842FF"/>
    <w:pPr>
      <w:numPr>
        <w:numId w:val="4"/>
      </w:numPr>
      <w:contextualSpacing/>
    </w:pPr>
  </w:style>
  <w:style w:type="numbering" w:customStyle="1" w:styleId="Itron">
    <w:name w:val="Itron"/>
    <w:uiPriority w:val="99"/>
    <w:rsid w:val="008F6F18"/>
    <w:pPr>
      <w:numPr>
        <w:numId w:val="2"/>
      </w:numPr>
    </w:pPr>
  </w:style>
  <w:style w:type="numbering" w:customStyle="1" w:styleId="CnAListBullets">
    <w:name w:val="CnAListBullets"/>
    <w:uiPriority w:val="99"/>
    <w:rsid w:val="00D842FF"/>
    <w:pPr>
      <w:numPr>
        <w:numId w:val="3"/>
      </w:numPr>
    </w:pPr>
  </w:style>
  <w:style w:type="paragraph" w:styleId="ListParagraph">
    <w:name w:val="List Paragraph"/>
    <w:basedOn w:val="Normal"/>
    <w:uiPriority w:val="34"/>
    <w:qFormat/>
    <w:rsid w:val="00D842FF"/>
    <w:pPr>
      <w:spacing w:after="80"/>
    </w:pPr>
  </w:style>
  <w:style w:type="paragraph" w:customStyle="1" w:styleId="CoverTitle">
    <w:name w:val="CoverTitle"/>
    <w:basedOn w:val="Normal"/>
    <w:link w:val="CoverTitleChar"/>
    <w:qFormat/>
    <w:rsid w:val="00D842FF"/>
    <w:pPr>
      <w:spacing w:after="120"/>
      <w:jc w:val="center"/>
    </w:pPr>
    <w:rPr>
      <w:rFonts w:ascii="Arial" w:hAnsi="Arial"/>
      <w:b/>
      <w:sz w:val="40"/>
    </w:rPr>
  </w:style>
  <w:style w:type="character" w:customStyle="1" w:styleId="CoverTitleChar">
    <w:name w:val="CoverTitle Char"/>
    <w:basedOn w:val="DefaultParagraphFont"/>
    <w:link w:val="CoverTitle"/>
    <w:rsid w:val="00D842FF"/>
    <w:rPr>
      <w:rFonts w:ascii="Arial" w:hAnsi="Arial"/>
      <w:b/>
      <w:sz w:val="40"/>
      <w:szCs w:val="24"/>
    </w:rPr>
  </w:style>
  <w:style w:type="paragraph" w:customStyle="1" w:styleId="CoverNormal">
    <w:name w:val="CoverNormal"/>
    <w:basedOn w:val="Normal"/>
    <w:link w:val="CoverNormalChar"/>
    <w:qFormat/>
    <w:rsid w:val="00D842FF"/>
    <w:pPr>
      <w:contextualSpacing/>
      <w:jc w:val="center"/>
    </w:pPr>
    <w:rPr>
      <w:rFonts w:ascii="Arial" w:hAnsi="Arial"/>
    </w:rPr>
  </w:style>
  <w:style w:type="character" w:customStyle="1" w:styleId="CoverNormalChar">
    <w:name w:val="CoverNormal Char"/>
    <w:basedOn w:val="DefaultParagraphFont"/>
    <w:link w:val="CoverNormal"/>
    <w:rsid w:val="00D842FF"/>
    <w:rPr>
      <w:rFonts w:ascii="Arial" w:hAnsi="Arial"/>
      <w:sz w:val="24"/>
      <w:szCs w:val="24"/>
    </w:rPr>
  </w:style>
  <w:style w:type="paragraph" w:customStyle="1" w:styleId="Halfline">
    <w:name w:val="Halfline"/>
    <w:basedOn w:val="Normal"/>
    <w:next w:val="Normal"/>
    <w:link w:val="HalflineChar"/>
    <w:qFormat/>
    <w:rsid w:val="00DE632E"/>
    <w:pPr>
      <w:spacing w:after="130" w:line="130" w:lineRule="exact"/>
      <w:jc w:val="left"/>
    </w:pPr>
  </w:style>
  <w:style w:type="character" w:customStyle="1" w:styleId="HalflineChar">
    <w:name w:val="Halfline Char"/>
    <w:basedOn w:val="DefaultParagraphFont"/>
    <w:link w:val="Halfline"/>
    <w:rsid w:val="00DE632E"/>
    <w:rPr>
      <w:rFonts w:ascii="Times New Roman" w:hAnsi="Times New Roman"/>
      <w:sz w:val="24"/>
      <w:szCs w:val="24"/>
    </w:rPr>
  </w:style>
  <w:style w:type="paragraph" w:customStyle="1" w:styleId="LetterheadParagraph">
    <w:name w:val="Letterhead Paragraph"/>
    <w:basedOn w:val="Normal"/>
    <w:qFormat/>
    <w:rsid w:val="00573DEC"/>
    <w:pPr>
      <w:spacing w:after="0"/>
    </w:pPr>
    <w:rPr>
      <w:rFonts w:ascii="Arial Narrow" w:hAnsi="Arial Narrow"/>
    </w:rPr>
  </w:style>
  <w:style w:type="character" w:customStyle="1" w:styleId="FootnoteTextChar">
    <w:name w:val="Footnote Text Char"/>
    <w:basedOn w:val="DefaultParagraphFont"/>
    <w:link w:val="FootnoteText"/>
    <w:rsid w:val="008646A2"/>
    <w:rPr>
      <w:rFonts w:ascii="Tms Rmn" w:eastAsia="Times New Roman" w:hAnsi="Tms Rmn"/>
    </w:rPr>
  </w:style>
  <w:style w:type="character" w:customStyle="1" w:styleId="tablefootnoteChar">
    <w:name w:val="table footnote Char"/>
    <w:basedOn w:val="DefaultParagraphFont"/>
    <w:link w:val="tablefootnote"/>
    <w:rsid w:val="009D0319"/>
    <w:rPr>
      <w:rFonts w:ascii="Times New Roman" w:hAnsi="Times New Roman"/>
    </w:rPr>
  </w:style>
  <w:style w:type="paragraph" w:customStyle="1" w:styleId="TitleSub">
    <w:name w:val="TitleSub"/>
    <w:basedOn w:val="Title"/>
    <w:link w:val="TitleSubChar"/>
    <w:autoRedefine/>
    <w:qFormat/>
    <w:rsid w:val="00682A57"/>
    <w:rPr>
      <w:b w:val="0"/>
      <w:sz w:val="32"/>
    </w:rPr>
  </w:style>
  <w:style w:type="character" w:customStyle="1" w:styleId="TitleSubChar">
    <w:name w:val="TitleSub Char"/>
    <w:basedOn w:val="TitleChar"/>
    <w:link w:val="TitleSub"/>
    <w:rsid w:val="00682A57"/>
    <w:rPr>
      <w:rFonts w:ascii="Arial" w:hAnsi="Arial"/>
      <w:b/>
      <w:color w:val="17365D"/>
      <w:spacing w:val="5"/>
      <w:kern w:val="28"/>
      <w:sz w:val="32"/>
      <w:szCs w:val="52"/>
    </w:rPr>
  </w:style>
  <w:style w:type="character" w:customStyle="1" w:styleId="TitleChar">
    <w:name w:val="Title Char"/>
    <w:basedOn w:val="DefaultParagraphFont"/>
    <w:link w:val="Title"/>
    <w:uiPriority w:val="10"/>
    <w:rsid w:val="00E251FF"/>
    <w:rPr>
      <w:rFonts w:ascii="Arial" w:hAnsi="Arial"/>
      <w:b/>
      <w:color w:val="17365D"/>
      <w:spacing w:val="5"/>
      <w:kern w:val="28"/>
      <w:sz w:val="40"/>
      <w:szCs w:val="52"/>
    </w:rPr>
  </w:style>
  <w:style w:type="paragraph" w:customStyle="1" w:styleId="TitleAdd">
    <w:name w:val="TitleAdd"/>
    <w:basedOn w:val="Title"/>
    <w:link w:val="TitleAddChar"/>
    <w:autoRedefine/>
    <w:qFormat/>
    <w:rsid w:val="00682A57"/>
    <w:rPr>
      <w:b w:val="0"/>
      <w:sz w:val="24"/>
      <w:szCs w:val="32"/>
    </w:rPr>
  </w:style>
  <w:style w:type="character" w:customStyle="1" w:styleId="TitleAddChar">
    <w:name w:val="TitleAdd Char"/>
    <w:basedOn w:val="TitleChar"/>
    <w:link w:val="TitleAdd"/>
    <w:rsid w:val="00682A57"/>
    <w:rPr>
      <w:rFonts w:ascii="Arial" w:hAnsi="Arial"/>
      <w:b/>
      <w:color w:val="17365D"/>
      <w:spacing w:val="5"/>
      <w:kern w:val="28"/>
      <w:sz w:val="24"/>
      <w:szCs w:val="32"/>
    </w:rPr>
  </w:style>
  <w:style w:type="character" w:customStyle="1" w:styleId="CommentTextChar">
    <w:name w:val="Comment Text Char"/>
    <w:basedOn w:val="DefaultParagraphFont"/>
    <w:link w:val="CommentText"/>
    <w:uiPriority w:val="99"/>
    <w:rsid w:val="001A749A"/>
    <w:rPr>
      <w:rFonts w:ascii="Times New Roman" w:hAnsi="Times New Roman"/>
    </w:rPr>
  </w:style>
  <w:style w:type="table" w:customStyle="1" w:styleId="ItronBasic">
    <w:name w:val="ItronBasic"/>
    <w:basedOn w:val="TableNormal"/>
    <w:uiPriority w:val="99"/>
    <w:qFormat/>
    <w:rsid w:val="001A749A"/>
    <w:pPr>
      <w:spacing w:after="0" w:line="240" w:lineRule="auto"/>
      <w:ind w:left="0" w:firstLine="0"/>
      <w:jc w:val="left"/>
    </w:p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hemeFill="background1" w:themeFillShade="D9"/>
      </w:tcPr>
    </w:tblStylePr>
  </w:style>
  <w:style w:type="table" w:styleId="TableProfessional">
    <w:name w:val="Table Professional"/>
    <w:basedOn w:val="TableNormal"/>
    <w:rsid w:val="001A749A"/>
    <w:pPr>
      <w:spacing w:after="280"/>
      <w:ind w:left="0" w:firstLine="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rsid w:val="001A749A"/>
    <w:pPr>
      <w:autoSpaceDE w:val="0"/>
      <w:autoSpaceDN w:val="0"/>
      <w:adjustRightInd w:val="0"/>
      <w:spacing w:after="0" w:line="240" w:lineRule="auto"/>
      <w:ind w:left="0" w:firstLine="0"/>
      <w:jc w:val="left"/>
    </w:pPr>
    <w:rPr>
      <w:rFonts w:ascii="Times New Roman" w:eastAsiaTheme="minorHAnsi" w:hAnsi="Times New Roman"/>
      <w:color w:val="000000"/>
      <w:sz w:val="24"/>
      <w:szCs w:val="24"/>
    </w:rPr>
  </w:style>
  <w:style w:type="character" w:styleId="FollowedHyperlink">
    <w:name w:val="FollowedHyperlink"/>
    <w:basedOn w:val="DefaultParagraphFont"/>
    <w:rsid w:val="000B7149"/>
    <w:rPr>
      <w:color w:val="800080" w:themeColor="followedHyperlink"/>
      <w:u w:val="single"/>
    </w:rPr>
  </w:style>
  <w:style w:type="paragraph" w:customStyle="1" w:styleId="bullet1stlevel">
    <w:name w:val="bullet: 1st level"/>
    <w:basedOn w:val="Normal"/>
    <w:rsid w:val="00B149F5"/>
    <w:pPr>
      <w:numPr>
        <w:numId w:val="6"/>
      </w:numPr>
      <w:spacing w:before="240" w:after="0" w:line="240" w:lineRule="auto"/>
      <w:jc w:val="left"/>
    </w:pPr>
  </w:style>
  <w:style w:type="paragraph" w:customStyle="1" w:styleId="TableTitle">
    <w:name w:val="Table Title"/>
    <w:basedOn w:val="Caption"/>
    <w:link w:val="TableTitleChar"/>
    <w:qFormat/>
    <w:rsid w:val="00B149F5"/>
    <w:pPr>
      <w:spacing w:before="0" w:after="200"/>
    </w:pPr>
    <w:rPr>
      <w:rFonts w:ascii="Times New Roman" w:eastAsia="Calibri" w:hAnsi="Times New Roman" w:cs="Times New Roman"/>
      <w:szCs w:val="18"/>
    </w:rPr>
  </w:style>
  <w:style w:type="character" w:customStyle="1" w:styleId="TableTitleChar">
    <w:name w:val="Table Title Char"/>
    <w:basedOn w:val="DefaultParagraphFont"/>
    <w:link w:val="TableTitle"/>
    <w:rsid w:val="00B149F5"/>
    <w:rPr>
      <w:rFonts w:ascii="Times New Roman" w:eastAsia="Calibri" w:hAnsi="Times New Roman"/>
      <w:b/>
      <w:bCs/>
      <w:sz w:val="24"/>
      <w:szCs w:val="18"/>
    </w:rPr>
  </w:style>
  <w:style w:type="paragraph" w:styleId="BodyText">
    <w:name w:val="Body Text"/>
    <w:basedOn w:val="Normal"/>
    <w:link w:val="BodyTextChar"/>
    <w:rsid w:val="00B149F5"/>
    <w:pPr>
      <w:spacing w:after="240" w:line="240" w:lineRule="auto"/>
    </w:pPr>
    <w:rPr>
      <w:rFonts w:ascii="CG Times (W1)" w:hAnsi="CG Times (W1)"/>
      <w:sz w:val="22"/>
      <w:szCs w:val="20"/>
    </w:rPr>
  </w:style>
  <w:style w:type="character" w:customStyle="1" w:styleId="BodyTextChar">
    <w:name w:val="Body Text Char"/>
    <w:basedOn w:val="DefaultParagraphFont"/>
    <w:link w:val="BodyText"/>
    <w:rsid w:val="00B149F5"/>
    <w:rPr>
      <w:rFonts w:ascii="CG Times (W1)" w:hAnsi="CG Times (W1)"/>
      <w:sz w:val="22"/>
    </w:rPr>
  </w:style>
  <w:style w:type="paragraph" w:styleId="EndnoteText">
    <w:name w:val="endnote text"/>
    <w:basedOn w:val="Normal"/>
    <w:link w:val="EndnoteTextChar"/>
    <w:rsid w:val="00BD7911"/>
    <w:pPr>
      <w:spacing w:after="0" w:line="240" w:lineRule="auto"/>
    </w:pPr>
    <w:rPr>
      <w:sz w:val="20"/>
      <w:szCs w:val="20"/>
    </w:rPr>
  </w:style>
  <w:style w:type="character" w:customStyle="1" w:styleId="EndnoteTextChar">
    <w:name w:val="Endnote Text Char"/>
    <w:basedOn w:val="DefaultParagraphFont"/>
    <w:link w:val="EndnoteText"/>
    <w:rsid w:val="00BD7911"/>
    <w:rPr>
      <w:rFonts w:ascii="Times New Roman" w:hAnsi="Times New Roman"/>
    </w:rPr>
  </w:style>
  <w:style w:type="character" w:styleId="EndnoteReference">
    <w:name w:val="endnote reference"/>
    <w:basedOn w:val="DefaultParagraphFont"/>
    <w:rsid w:val="00BD791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269364">
      <w:bodyDiv w:val="1"/>
      <w:marLeft w:val="0"/>
      <w:marRight w:val="0"/>
      <w:marTop w:val="0"/>
      <w:marBottom w:val="0"/>
      <w:divBdr>
        <w:top w:val="none" w:sz="0" w:space="0" w:color="auto"/>
        <w:left w:val="none" w:sz="0" w:space="0" w:color="auto"/>
        <w:bottom w:val="none" w:sz="0" w:space="0" w:color="auto"/>
        <w:right w:val="none" w:sz="0" w:space="0" w:color="auto"/>
      </w:divBdr>
    </w:div>
    <w:div w:id="1275362513">
      <w:bodyDiv w:val="1"/>
      <w:marLeft w:val="0"/>
      <w:marRight w:val="0"/>
      <w:marTop w:val="0"/>
      <w:marBottom w:val="0"/>
      <w:divBdr>
        <w:top w:val="none" w:sz="0" w:space="0" w:color="auto"/>
        <w:left w:val="none" w:sz="0" w:space="0" w:color="auto"/>
        <w:bottom w:val="none" w:sz="0" w:space="0" w:color="auto"/>
        <w:right w:val="none" w:sz="0" w:space="0" w:color="auto"/>
      </w:divBdr>
    </w:div>
    <w:div w:id="1433814317">
      <w:bodyDiv w:val="1"/>
      <w:marLeft w:val="0"/>
      <w:marRight w:val="0"/>
      <w:marTop w:val="0"/>
      <w:marBottom w:val="0"/>
      <w:divBdr>
        <w:top w:val="none" w:sz="0" w:space="0" w:color="auto"/>
        <w:left w:val="none" w:sz="0" w:space="0" w:color="auto"/>
        <w:bottom w:val="none" w:sz="0" w:space="0" w:color="auto"/>
        <w:right w:val="none" w:sz="0" w:space="0" w:color="auto"/>
      </w:divBdr>
    </w:div>
    <w:div w:id="190575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16F1A-EF84-4FCD-B8AC-38E17546C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2582</Words>
  <Characters>14720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Itron</Company>
  <LinksUpToDate>false</LinksUpToDate>
  <CharactersWithSpaces>17268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Galawish, Elsia</dc:creator>
  <cp:lastModifiedBy>Lu, Aaron</cp:lastModifiedBy>
  <cp:revision>5</cp:revision>
  <cp:lastPrinted>2011-10-08T18:01:00Z</cp:lastPrinted>
  <dcterms:created xsi:type="dcterms:W3CDTF">2011-11-04T04:20:00Z</dcterms:created>
  <dcterms:modified xsi:type="dcterms:W3CDTF">2014-01-16T22:24:00Z</dcterms:modified>
</cp:coreProperties>
</file>